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E6822" w14:textId="5292FB77" w:rsidR="00D47310" w:rsidRPr="00730CC1" w:rsidRDefault="00CF34A6" w:rsidP="00A12E0C">
      <w:pPr>
        <w:pStyle w:val="Header"/>
      </w:pPr>
      <w:r>
        <w:rPr>
          <w:noProof/>
        </w:rPr>
        <mc:AlternateContent>
          <mc:Choice Requires="wps">
            <w:drawing>
              <wp:anchor distT="0" distB="0" distL="114300" distR="114300" simplePos="0" relativeHeight="251994112" behindDoc="0" locked="0" layoutInCell="1" allowOverlap="1" wp14:editId="6A50C2D5">
                <wp:simplePos x="0" y="0"/>
                <wp:positionH relativeFrom="column">
                  <wp:posOffset>0</wp:posOffset>
                </wp:positionH>
                <wp:positionV relativeFrom="paragraph">
                  <wp:posOffset>4667250</wp:posOffset>
                </wp:positionV>
                <wp:extent cx="5800725" cy="16046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725" cy="1604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21ED1C" w14:textId="224C886F" w:rsidR="00CF34A6" w:rsidRPr="00564D85" w:rsidRDefault="00CF34A6" w:rsidP="00564D85">
                            <w:pPr>
                              <w:pStyle w:val="Subtitlewhite"/>
                            </w:pPr>
                            <w:sdt>
                              <w:sdtPr>
                                <w:alias w:val="Subtitle"/>
                                <w:tag w:val="Subtitle"/>
                                <w:id w:val="2027906633"/>
                                <w:dataBinding w:prefixMappings="xmlns:ns0='http://schemas.openxmlformats.org/package/2006/metadata/core-properties' xmlns:ns1='http://purl.org/dc/elements/1.1/'" w:xpath="/ns0:coreProperties[1]/ns1:subject[1]" w:storeItemID="{6C3C8BC8-F283-45AE-878A-BAB7291924A1}"/>
                                <w:text w:multiLine="1"/>
                              </w:sdtPr>
                              <w:sdtContent>
                                <w:r>
                                  <w:t>vertinimo ataskaita</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367.5pt;width:456.75pt;height:126.3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J0BjAIAAHwFAAAOAAAAZHJzL2Uyb0RvYy54bWysVN9P2zAQfp+0/8Hy+0jatYVFpKgDMU2q&#10;AK1MPLuOTSNsn2e7Tbq/nrOTtBXbC9NeEtv33e/v7vKq1YrshPM1mJKOznJKhOFQ1ea5pD8fbz9d&#10;UOIDMxVTYERJ98LTq/nHD5eNLcQYNqAq4QgaMb5obEk3IdgiyzzfCM38GVhhUCjBaRbw6p6zyrEG&#10;rWuVjfN8ljXgKuuAC+/x9aYT0nmyL6Xg4V5KLwJRJcXYQvq69F3Hbza/ZMWzY3ZT8z4M9g9RaFYb&#10;dHowdcMCI1tX/2FK19yBBxnOOOgMpKy5SDlgNqP8TTarDbMi5YLF8fZQJv//zPK73YMjdVXSKSWG&#10;aWzRo2gD+QotmcbqNNYXCFpZhIUWn7HLKVNvl8BfPEKyE0yn4BEdq9FKp+Mf8ySoiA3YH4oevXB8&#10;nF7k+fkYvXOUjWb5ZDZJjrOjunU+fBOgSTyU1GFXUwhst/QhBsCKARK9GbitlUqdVYY0JZ19nuZJ&#10;4SBBDWUiViSO9GZiHl3o6RT2SkSMMj+ExBqlDOJDYqe4Vo7sGPKKcS5MGMVqJbuIjiiJQbxHsccf&#10;o3qPcpfH4BlMOCjr2oDrOhaH6hh29TKELDt830nf5R1LENp1i1nF4xqqPVLAQTdC3vLbGruxZD48&#10;MIczg83FPRDu8SMVYNWhP1GyAff7b+8Rj1RGKSUNzmBJ/a8tc4IS9d0gyb+MJpM4tOkymZ6P8eJO&#10;JetTidnqa8B2jHDjWJ6OER/UcJQO9BOui0X0iiJmOPouaRiO16HbDLhuuFgsEgjH1LKwNCvLB+ZH&#10;rj22T8zZnpABuXwHw7Sy4g0vO2zsq4HFNoCsE2mPVe0LjyOeGNSvo7hDTu8JdVya81cAAAD//wMA&#10;UEsDBBQABgAIAAAAIQDwikVO3gAAAAgBAAAPAAAAZHJzL2Rvd25yZXYueG1sTI/BTsMwEETvSPyD&#10;tUjcqFOqkhDiVBWCCxJClEqI2zY2ccBeB9ttw9+znOA2qxm9nWlWk3fiYGIaAimYzwoQhrqgB+oV&#10;bF/uLyoQKSNpdIGMgm+TYNWenjRY63CkZ3PY5F4whFKNCmzOYy1l6qzxmGZhNMTee4geM5+xlzri&#10;keHeycuiuJIeB+IPFkdza033udl7BWX1pu1HfJi2r4/rL/s0SneHUqnzs2l9AyKbKf+F4bc+V4eW&#10;O+3CnnQSTgEPyUxaLFmwfT1fLEHsWFRlCbJt5P8B7Q8AAAD//wMAUEsBAi0AFAAGAAgAAAAhALaD&#10;OJL+AAAA4QEAABMAAAAAAAAAAAAAAAAAAAAAAFtDb250ZW50X1R5cGVzXS54bWxQSwECLQAUAAYA&#10;CAAAACEAOP0h/9YAAACUAQAACwAAAAAAAAAAAAAAAAAvAQAAX3JlbHMvLnJlbHNQSwECLQAUAAYA&#10;CAAAACEAwWydAYwCAAB8BQAADgAAAAAAAAAAAAAAAAAuAgAAZHJzL2Uyb0RvYy54bWxQSwECLQAU&#10;AAYACAAAACEA8IpFTt4AAAAIAQAADwAAAAAAAAAAAAAAAADmBAAAZHJzL2Rvd25yZXYueG1sUEsF&#10;BgAAAAAEAAQA8wAAAPEFAAAAAA==&#10;" filled="f" stroked="f" strokeweight=".5pt">
                <v:path arrowok="t"/>
                <v:textbox>
                  <w:txbxContent>
                    <w:p w14:paraId="3021ED1C" w14:textId="224C886F" w:rsidR="00CF34A6" w:rsidRPr="00564D85" w:rsidRDefault="00CF34A6" w:rsidP="00564D85">
                      <w:pPr>
                        <w:pStyle w:val="Subtitlewhite"/>
                      </w:pPr>
                      <w:sdt>
                        <w:sdtPr>
                          <w:alias w:val="Subtitle"/>
                          <w:tag w:val="Subtitle"/>
                          <w:id w:val="2027906633"/>
                          <w:dataBinding w:prefixMappings="xmlns:ns0='http://schemas.openxmlformats.org/package/2006/metadata/core-properties' xmlns:ns1='http://purl.org/dc/elements/1.1/'" w:xpath="/ns0:coreProperties[1]/ns1:subject[1]" w:storeItemID="{6C3C8BC8-F283-45AE-878A-BAB7291924A1}"/>
                          <w:text w:multiLine="1"/>
                        </w:sdtPr>
                        <w:sdtContent>
                          <w:r>
                            <w:t>vertinimo ataskaita</w:t>
                          </w:r>
                        </w:sdtContent>
                      </w:sdt>
                    </w:p>
                  </w:txbxContent>
                </v:textbox>
              </v:shape>
            </w:pict>
          </mc:Fallback>
        </mc:AlternateContent>
      </w:r>
      <w:r>
        <w:rPr>
          <w:noProof/>
        </w:rPr>
        <w:drawing>
          <wp:inline distT="0" distB="0" distL="0" distR="0" wp14:anchorId="00849D9E" wp14:editId="7A9F6BAB">
            <wp:extent cx="2549957" cy="1051962"/>
            <wp:effectExtent l="0" t="0" r="3175" b="0"/>
            <wp:docPr id="9" name="Picture 9" descr="\\serveris\BIURO INFO\1. FIRMINIS STILIUS IR SABLONAI\2. Logotipas\PPMI Group\PPMI logo OK-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is\BIURO INFO\1. FIRMINIS STILIUS IR SABLONAI\2. Logotipas\PPMI Group\PPMI logo OK-03.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9957" cy="1051962"/>
                    </a:xfrm>
                    <a:prstGeom prst="rect">
                      <a:avLst/>
                    </a:prstGeom>
                    <a:noFill/>
                    <a:ln>
                      <a:noFill/>
                    </a:ln>
                  </pic:spPr>
                </pic:pic>
              </a:graphicData>
            </a:graphic>
          </wp:inline>
        </w:drawing>
      </w:r>
      <w:sdt>
        <w:sdtPr>
          <w:rPr>
            <w:color w:val="FFFFFF" w:themeColor="background1"/>
          </w:rPr>
          <w:id w:val="-1715879602"/>
          <w:docPartObj>
            <w:docPartGallery w:val="Cover Pages"/>
            <w:docPartUnique/>
          </w:docPartObj>
        </w:sdtPr>
        <w:sdtEndPr>
          <w:rPr>
            <w:color w:val="auto"/>
          </w:rPr>
        </w:sdtEndPr>
        <w:sdtContent>
          <w:r w:rsidR="005C0666" w:rsidRPr="00730CC1">
            <w:rPr>
              <w:noProof/>
            </w:rPr>
            <mc:AlternateContent>
              <mc:Choice Requires="wps">
                <w:drawing>
                  <wp:anchor distT="0" distB="0" distL="114300" distR="114300" simplePos="0" relativeHeight="251529216" behindDoc="0" locked="0" layoutInCell="1" allowOverlap="1" wp14:anchorId="3C4CFAFB" wp14:editId="6D3A4C9D">
                    <wp:simplePos x="0" y="0"/>
                    <wp:positionH relativeFrom="column">
                      <wp:posOffset>20955</wp:posOffset>
                    </wp:positionH>
                    <wp:positionV relativeFrom="paragraph">
                      <wp:posOffset>3835400</wp:posOffset>
                    </wp:positionV>
                    <wp:extent cx="5800725" cy="2257425"/>
                    <wp:effectExtent l="0" t="0" r="0" b="0"/>
                    <wp:wrapNone/>
                    <wp:docPr id="8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725" cy="2257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EA81F7" w14:textId="012B1EA2" w:rsidR="00066407" w:rsidRPr="00564D85" w:rsidRDefault="006D6B40" w:rsidP="00564D85">
                                <w:pPr>
                                  <w:pStyle w:val="Subtitlewhite"/>
                                </w:pPr>
                                <w:sdt>
                                  <w:sdtPr>
                                    <w:alias w:val="Subtitle"/>
                                    <w:tag w:val="Subtitle"/>
                                    <w:id w:val="1143003265"/>
                                    <w:lock w:val="sdtLocked"/>
                                    <w:dataBinding w:prefixMappings="xmlns:ns0='http://schemas.openxmlformats.org/package/2006/metadata/core-properties' xmlns:ns1='http://purl.org/dc/elements/1.1/'" w:xpath="/ns0:coreProperties[1]/ns1:subject[1]" w:storeItemID="{6C3C8BC8-F283-45AE-878A-BAB7291924A1}"/>
                                    <w:text w:multiLine="1"/>
                                  </w:sdtPr>
                                  <w:sdtEndPr/>
                                  <w:sdtContent>
                                    <w:r w:rsidR="00066407">
                                      <w:t>vertinimo ataskaita</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65pt;margin-top:302pt;width:456.75pt;height:177.7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pHkAIAAIYFAAAOAAAAZHJzL2Uyb0RvYy54bWysVN9P2zAQfp+0/8Hy+0iatcAiUtSBmCZV&#10;gAYTz65j0wjb59luk+6v5+wkbcX2wrSXxL777nw/vruLy04rshXON2AqOjnJKRGGQ92Y54r+fLz5&#10;dE6JD8zUTIERFd0JTy/nHz9ctLYUBaxB1cIRdGJ82dqKrkOwZZZ5vhaa+ROwwqBSgtMs4NU9Z7Vj&#10;LXrXKivy/DRrwdXWARfeo/S6V9J58i+l4OFOSi8CURXF2EL6uvRdxW82v2Dls2N23fAhDPYPUWjW&#10;GHx07+qaBUY2rvnDlW64Aw8ynHDQGUjZcJFywGwm+ZtsHtbMipQLFsfbfZn8/3PLb7f3jjR1Rc+L&#10;2ZQSwzR26VF0gXyFjhSxQK31JeIeLCJDh2JsdErW2yXwF4+Q7AjTG3hEx4J00un4x1QJGmIPdvu6&#10;x1c4CmfneX5WzCjhqCuK2dkUL9Hrwdw6H74J0CQeKuqwsSkEtl360ENHSHzNwE2jFMpZqQxpK3r6&#10;eZYng70GnSsTASLRZHAT8+hDT6ewU6J38kNILFPKIAoSQcWVcmTLkFqMc2HCZAhaGURHlMQg3mM4&#10;4A9Rvce4z2N8GUzYG+vGgOs7FufqEHb9MoYse/zQSd/nHUsQulWX+JGQUbKCeodMcNAPk7f8psGm&#10;LJkP98zh9GCPcSOEO/xIBVh8GE6UrMH9/ps84pHUqKWkxWmsqP+1YU5Qor4bpPuXyXQaxzddprOz&#10;Ai/uWLM61piNvgLsygR3j+XpGPFBjUfpQD/h4ljEV1HFDMe3KxrG41XodwQuHi4WiwTCgbUsLM2D&#10;5eMARMo9dk/M2YGXASl9C+PcsvINPXtsbK+BxSaAbBJ3D1Ud6o/Dntg/LKa4TY7vCXVYn/NXAAAA&#10;//8DAFBLAwQUAAYACAAAACEAyP/KDd8AAAAJAQAADwAAAGRycy9kb3ducmV2LnhtbEyPzU7DMBCE&#10;70i8g7VI3KhTSkMb4lQVggsSQpRKiNs2XuKAf4LttuHtWU5w29GMZuerV6Oz4kAx9cErmE4KEOTb&#10;oHvfKdi+3F8sQKSMXqMNnhR8U4JVc3pSY6XD0T/TYZM7wSU+VajA5DxUUqbWkMM0CQN59t5DdJhZ&#10;xk7qiEcud1ZeFkUpHfaePxgc6NZQ+7nZOwXXizdtPuLDuH19XH+Zp0HaO5RKnZ+N6xsQmcb8F4bf&#10;+TwdGt60C3uvk7AKZjMOKiiLK0ZifzktGWXHx3w5B9nU8j9B8wMAAP//AwBQSwECLQAUAAYACAAA&#10;ACEAtoM4kv4AAADhAQAAEwAAAAAAAAAAAAAAAAAAAAAAW0NvbnRlbnRfVHlwZXNdLnhtbFBLAQIt&#10;ABQABgAIAAAAIQA4/SH/1gAAAJQBAAALAAAAAAAAAAAAAAAAAC8BAABfcmVscy8ucmVsc1BLAQIt&#10;ABQABgAIAAAAIQCOeapHkAIAAIYFAAAOAAAAAAAAAAAAAAAAAC4CAABkcnMvZTJvRG9jLnhtbFBL&#10;AQItABQABgAIAAAAIQDI/8oN3wAAAAkBAAAPAAAAAAAAAAAAAAAAAOoEAABkcnMvZG93bnJldi54&#10;bWxQSwUGAAAAAAQABADzAAAA9gUAAAAA&#10;" filled="f" stroked="f" strokeweight=".5pt">
                    <v:path arrowok="t"/>
                    <v:textbox>
                      <w:txbxContent>
                        <w:p w14:paraId="71EA81F7" w14:textId="012B1EA2" w:rsidR="00066407" w:rsidRPr="00564D85" w:rsidRDefault="006D6B40" w:rsidP="00564D85">
                          <w:pPr>
                            <w:pStyle w:val="Subtitlewhite"/>
                          </w:pPr>
                          <w:sdt>
                            <w:sdtPr>
                              <w:alias w:val="Subtitle"/>
                              <w:tag w:val="Subtitle"/>
                              <w:id w:val="1143003265"/>
                              <w:lock w:val="sdtLocked"/>
                              <w:dataBinding w:prefixMappings="xmlns:ns0='http://schemas.openxmlformats.org/package/2006/metadata/core-properties' xmlns:ns1='http://purl.org/dc/elements/1.1/'" w:xpath="/ns0:coreProperties[1]/ns1:subject[1]" w:storeItemID="{6C3C8BC8-F283-45AE-878A-BAB7291924A1}"/>
                              <w:text w:multiLine="1"/>
                            </w:sdtPr>
                            <w:sdtEndPr/>
                            <w:sdtContent>
                              <w:r w:rsidR="00066407">
                                <w:t>vertinimo ataskaita</w:t>
                              </w:r>
                            </w:sdtContent>
                          </w:sdt>
                        </w:p>
                      </w:txbxContent>
                    </v:textbox>
                  </v:shape>
                </w:pict>
              </mc:Fallback>
            </mc:AlternateContent>
          </w:r>
          <w:r w:rsidR="000A5259" w:rsidRPr="00730CC1">
            <w:rPr>
              <w:noProof/>
            </w:rPr>
            <w:drawing>
              <wp:anchor distT="0" distB="0" distL="114300" distR="114300" simplePos="0" relativeHeight="251518976" behindDoc="1" locked="0" layoutInCell="1" allowOverlap="1" wp14:anchorId="704531B8" wp14:editId="29914513">
                <wp:simplePos x="0" y="0"/>
                <wp:positionH relativeFrom="column">
                  <wp:posOffset>-683895</wp:posOffset>
                </wp:positionH>
                <wp:positionV relativeFrom="page">
                  <wp:posOffset>219075</wp:posOffset>
                </wp:positionV>
                <wp:extent cx="7558405" cy="10610850"/>
                <wp:effectExtent l="1905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a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8405" cy="10610850"/>
                        </a:xfrm>
                        <a:prstGeom prst="rect">
                          <a:avLst/>
                        </a:prstGeom>
                      </pic:spPr>
                    </pic:pic>
                  </a:graphicData>
                </a:graphic>
              </wp:anchor>
            </w:drawing>
          </w:r>
          <w:r w:rsidR="005C0666" w:rsidRPr="00730CC1">
            <w:rPr>
              <w:noProof/>
            </w:rPr>
            <mc:AlternateContent>
              <mc:Choice Requires="wps">
                <w:drawing>
                  <wp:anchor distT="0" distB="0" distL="114300" distR="114300" simplePos="0" relativeHeight="251531264" behindDoc="0" locked="0" layoutInCell="1" allowOverlap="1" wp14:anchorId="4513ACAA" wp14:editId="15EDD32B">
                    <wp:simplePos x="0" y="0"/>
                    <wp:positionH relativeFrom="column">
                      <wp:posOffset>20955</wp:posOffset>
                    </wp:positionH>
                    <wp:positionV relativeFrom="paragraph">
                      <wp:posOffset>6397625</wp:posOffset>
                    </wp:positionV>
                    <wp:extent cx="4991100" cy="428625"/>
                    <wp:effectExtent l="0" t="0" r="0" b="0"/>
                    <wp:wrapNone/>
                    <wp:docPr id="82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11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Text"/>
                                  <w:tag w:val="Text"/>
                                  <w:id w:val="-2097002853"/>
                                  <w:lock w:val="sdtLocked"/>
                                  <w:showingPlcHdr/>
                                </w:sdtPr>
                                <w:sdtEndPr/>
                                <w:sdtContent>
                                  <w:p w14:paraId="3A637FFC" w14:textId="77777777" w:rsidR="00066407" w:rsidRPr="001375A9" w:rsidRDefault="00066407" w:rsidP="00755F9F">
                                    <w:pPr>
                                      <w:pStyle w:val="TextWhiteUP"/>
                                    </w:pPr>
                                    <w:r>
                                      <w:t xml:space="preserve">     </w:t>
                                    </w:r>
                                  </w:p>
                                </w:sdtContent>
                              </w:sdt>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28" type="#_x0000_t202" style="position:absolute;margin-left:1.65pt;margin-top:503.75pt;width:393pt;height:33.7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A+FkAIAAIUFAAAOAAAAZHJzL2Uyb0RvYy54bWysVN9P2zAQfp+0/8Hy+0gTWgYRKepATJMq&#10;QIOJZ9exaYTt82y3SffX7+wkbcX2wrSXxPZ99/u7u7zqtCJb4XwDpqL5yYQSYTjUjXmp6I+n20/n&#10;lPjATM0UGFHRnfD0av7xw2VrS1HAGlQtHEEjxpetreg6BFtmmedroZk/ASsMCiU4zQJe3UtWO9ai&#10;da2yYjI5y1pwtXXAhff4etML6TzZl1LwcC+lF4GoimJsIX1d+q7iN5tfsvLFMbtu+BAG+4coNGsM&#10;Ot2bumGBkY1r/jClG+7AgwwnHHQGUjZcpBwwm3zyJpvHNbMi5YLF8XZfJv//zPK77YMjTV3R82J2&#10;SolhGrv0JLpAvkBHTmOBWutLxD1aRIYOn7HRKVlvl8BfPUKyI0yv4BEdC9JJp+MfUyWoiD3Y7ese&#10;vXB8nF5c5PkERRxl0+L8rJhFv9lB2zofvgrQJB4q6rCvKQK2XfrQQ0dIdGbgtlEK31mpDGkrenY6&#10;mySFvQSNKxMBIrFkMBPT6CNPp7BTojfyXUisUkogPiR+imvlyJYhsxjnwoR8CFoZREeUxCDeozjg&#10;D1G9R7nPY/QMJuyVdWPA9Q2LY3UIu34dQ5Y9fmik7/OOJQjdqkv0KEYmrKDeIREc9LPkLb9tsClL&#10;5sMDczg82EdcCOEeP1IBFh+GEyVrcL/+9h7xyGmUUtLiMFbU/9wwJyhR3wyy/SKfTuP0pst09rnA&#10;izuWrI4lZqOvAbuS4+qxPB0jPqjxKB3oZ9wbi+gVRcxw9F3R1Xi8Dv2KwL3DxWKRQDivloWlebR8&#10;5H+k3FP3zJwdeBmQ0Xcwji0r39Czx8b2GlhsAsgmcTfWua/qUH+c9cT+YS/FZXJ8T6jD9pz/BgAA&#10;//8DAFBLAwQUAAYACAAAACEAA7/4EeEAAAALAQAADwAAAGRycy9kb3ducmV2LnhtbEyPwU7DMAyG&#10;70i8Q2QkLoglY4xupemEEAgOCInBds4a05Y1TtWkXff2eCc4+vOv35+z1egaMWAXak8aphMFAqnw&#10;tqZSw9fn8/UCRIiGrGk8oYYjBljl52eZSa0/0AcO61gKLqGQGg1VjG0qZSgqdCZMfIvEu2/fORN5&#10;7EppO3PgctfIG6XupDM18YXKtPhYYbFf905D/7Kl19tqWW+eroaf/ftx81Zsp1pfXowP9yAijvEv&#10;DCd9VoecnXa+JxtEo2E24yBjpZI5CA4kiyWj3QklcwUyz+T/H/JfAAAA//8DAFBLAQItABQABgAI&#10;AAAAIQC2gziS/gAAAOEBAAATAAAAAAAAAAAAAAAAAAAAAABbQ29udGVudF9UeXBlc10ueG1sUEsB&#10;Ai0AFAAGAAgAAAAhADj9If/WAAAAlAEAAAsAAAAAAAAAAAAAAAAALwEAAF9yZWxzLy5yZWxzUEsB&#10;Ai0AFAAGAAgAAAAhAChsD4WQAgAAhQUAAA4AAAAAAAAAAAAAAAAALgIAAGRycy9lMm9Eb2MueG1s&#10;UEsBAi0AFAAGAAgAAAAhAAO/+BHhAAAACwEAAA8AAAAAAAAAAAAAAAAA6gQAAGRycy9kb3ducmV2&#10;LnhtbFBLBQYAAAAABAAEAPMAAAD4BQAAAAA=&#10;" filled="f" stroked="f" strokeweight=".5pt">
                    <v:path arrowok="t"/>
                    <v:textbox>
                      <w:txbxContent>
                        <w:sdt>
                          <w:sdtPr>
                            <w:alias w:val="Text"/>
                            <w:tag w:val="Text"/>
                            <w:id w:val="-2097002853"/>
                            <w:lock w:val="sdtLocked"/>
                            <w:showingPlcHdr/>
                          </w:sdtPr>
                          <w:sdtEndPr/>
                          <w:sdtContent>
                            <w:p w14:paraId="3A637FFC" w14:textId="77777777" w:rsidR="00066407" w:rsidRPr="001375A9" w:rsidRDefault="00066407" w:rsidP="00755F9F">
                              <w:pPr>
                                <w:pStyle w:val="TextWhiteUP"/>
                              </w:pPr>
                              <w:r>
                                <w:t xml:space="preserve">     </w:t>
                              </w:r>
                            </w:p>
                          </w:sdtContent>
                        </w:sdt>
                      </w:txbxContent>
                    </v:textbox>
                  </v:shape>
                </w:pict>
              </mc:Fallback>
            </mc:AlternateContent>
          </w:r>
          <w:r w:rsidR="005C0666" w:rsidRPr="00730CC1">
            <w:rPr>
              <w:noProof/>
            </w:rPr>
            <mc:AlternateContent>
              <mc:Choice Requires="wps">
                <w:drawing>
                  <wp:anchor distT="0" distB="0" distL="114300" distR="114300" simplePos="0" relativeHeight="251527168" behindDoc="0" locked="0" layoutInCell="1" allowOverlap="1" wp14:anchorId="1ED3C988" wp14:editId="628C3E17">
                    <wp:simplePos x="0" y="0"/>
                    <wp:positionH relativeFrom="column">
                      <wp:posOffset>20955</wp:posOffset>
                    </wp:positionH>
                    <wp:positionV relativeFrom="paragraph">
                      <wp:posOffset>1616075</wp:posOffset>
                    </wp:positionV>
                    <wp:extent cx="5800725" cy="2133600"/>
                    <wp:effectExtent l="0" t="0" r="0" b="0"/>
                    <wp:wrapNone/>
                    <wp:docPr id="825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725" cy="213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E0638" w14:textId="16BE86AF" w:rsidR="00066407" w:rsidRPr="00FE5642" w:rsidRDefault="006D6B40" w:rsidP="00564D85">
                                <w:pPr>
                                  <w:pStyle w:val="Title"/>
                                  <w:rPr>
                                    <w:caps w:val="0"/>
                                  </w:rPr>
                                </w:pPr>
                                <w:sdt>
                                  <w:sdtPr>
                                    <w:rPr>
                                      <w:rFonts w:eastAsia="Times New Roman"/>
                                    </w:rPr>
                                    <w:alias w:val="Title"/>
                                    <w:tag w:val="Title"/>
                                    <w:id w:val="557215878"/>
                                    <w:lock w:val="sdtLocked"/>
                                    <w:dataBinding w:prefixMappings="xmlns:ns0='http://schemas.openxmlformats.org/package/2006/metadata/core-properties' xmlns:ns1='http://purl.org/dc/elements/1.1/'" w:xpath="/ns0:coreProperties[1]/ns1:title[1]" w:storeItemID="{6C3C8BC8-F283-45AE-878A-BAB7291924A1}"/>
                                    <w:text w:multiLine="1"/>
                                  </w:sdtPr>
                                  <w:sdtEndPr/>
                                  <w:sdtContent>
                                    <w:r w:rsidR="00066407">
                                      <w:rPr>
                                        <w:rFonts w:eastAsia="Times New Roman"/>
                                      </w:rPr>
                                      <w:t>EUROPOS PAGALBOS LABIAUSIAI SKURSTANTIEMS ASMENIMS FONDO VEIKSMŲ PROGRAMOS IŠANKSTINIS VERTINIMAS</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29" type="#_x0000_t202" style="position:absolute;margin-left:1.65pt;margin-top:127.25pt;width:456.75pt;height:168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f9PkwIAAIYFAAAOAAAAZHJzL2Uyb0RvYy54bWysVN9P2zAQfp+0/8Hy+0iaUmARKepATJMq&#10;QIOJZ9exaYTt82y3SffX7+wkbcX2wrSXxPZ99/u7u7zqtCJb4XwDpqKTk5wSYTjUjXmp6I+n208X&#10;lPjATM0UGFHRnfD0av7xw2VrS1HAGlQtHEEjxpetreg6BFtmmedroZk/ASsMCiU4zQJe3UtWO9ai&#10;da2yIs/PshZcbR1w4T2+3vRCOk/2pRQ83EvpRSCqohhbSF+Xvqv4zeaXrHxxzK4bPoTB/iEKzRqD&#10;TvemblhgZOOaP0zphjvwIMMJB52BlA0XKQfMZpK/yeZxzaxIuWBxvN2Xyf8/s/xu++BIU1f0opgV&#10;lBimsUtPogvkC3RkFgvUWl8i7tEiMnT4jI1OyXq7BP7qEZIdYXoFj+hYkE46Hf+YKkFF7MFuX/fo&#10;hePj7CLPz4sZJRxlxWQ6PctTZ7KDunU+fBWgSTxU1GFjUwhsu/QhBsDKERK9GbhtlErNVYa0FT2b&#10;zvKksJeghjIRKxJNBjMxjz70dAo7JSJGme9CYplSBvEhEVRcK0e2DKnFOBcmTGK1kl1ER5TEIN6j&#10;OOAPUb1Huc9j9Awm7JV1Y8D1HYtzdQi7fh1Dlj1+6KTv844lCN2qS/yYjlRYQb1DJjjoh8lbfttg&#10;U5bMhwfmcHqwx7gRwj1+pAIsPgwnStbgfv3tPeKR1CilpMVprKj/uWFOUKK+GaT758npaRzfdDmd&#10;nRd4cceS1bHEbPQ1YFcmuHssT8eID2o8Sgf6GRfHInpFETMcfVd0NR6vQ78jcPFwsVgkEA6sZWFp&#10;Hi0fByBS7ql7Zs4OvAxI6TsY55aVb+jZY2N7DSw2AWSTuBvr3Fd1qD8OeyLSsJjiNjm+J9Rhfc5/&#10;AwAA//8DAFBLAwQUAAYACAAAACEA/7A1E+EAAAAJAQAADwAAAGRycy9kb3ducmV2LnhtbEyPQUvD&#10;QBSE74L/YXmCF7GbtE0xMS9FRNFDEay2523yzMZm34bsJk3/vetJj8MMM9/k68m0YqTeNZYR4lkE&#10;gri0VcM1wufH8+0dCOcVV6q1TAhncrAuLi9ylVX2xO80bn0tQgm7TCFo77tMSldqMsrNbEccvC/b&#10;G+WD7GtZ9eoUyk0r51G0kkY1HBa06uhRU3ncDgZheNnz61Knze7pZvw+vp13m3IfI15fTQ/3IDxN&#10;/i8Mv/gBHYrAdLADV060CItFCCLMk2UCIvhpvApXDghJGiUgi1z+f1D8AAAA//8DAFBLAQItABQA&#10;BgAIAAAAIQC2gziS/gAAAOEBAAATAAAAAAAAAAAAAAAAAAAAAABbQ29udGVudF9UeXBlc10ueG1s&#10;UEsBAi0AFAAGAAgAAAAhADj9If/WAAAAlAEAAAsAAAAAAAAAAAAAAAAALwEAAF9yZWxzLy5yZWxz&#10;UEsBAi0AFAAGAAgAAAAhALDt/0+TAgAAhgUAAA4AAAAAAAAAAAAAAAAALgIAAGRycy9lMm9Eb2Mu&#10;eG1sUEsBAi0AFAAGAAgAAAAhAP+wNRPhAAAACQEAAA8AAAAAAAAAAAAAAAAA7QQAAGRycy9kb3du&#10;cmV2LnhtbFBLBQYAAAAABAAEAPMAAAD7BQAAAAA=&#10;" filled="f" stroked="f" strokeweight=".5pt">
                    <v:path arrowok="t"/>
                    <v:textbox>
                      <w:txbxContent>
                        <w:p w14:paraId="0DCE0638" w14:textId="16BE86AF" w:rsidR="00066407" w:rsidRPr="00FE5642" w:rsidRDefault="006D6B40" w:rsidP="00564D85">
                          <w:pPr>
                            <w:pStyle w:val="Title"/>
                            <w:rPr>
                              <w:caps w:val="0"/>
                            </w:rPr>
                          </w:pPr>
                          <w:sdt>
                            <w:sdtPr>
                              <w:rPr>
                                <w:rFonts w:eastAsia="Times New Roman"/>
                              </w:rPr>
                              <w:alias w:val="Title"/>
                              <w:tag w:val="Title"/>
                              <w:id w:val="557215878"/>
                              <w:lock w:val="sdtLocked"/>
                              <w:dataBinding w:prefixMappings="xmlns:ns0='http://schemas.openxmlformats.org/package/2006/metadata/core-properties' xmlns:ns1='http://purl.org/dc/elements/1.1/'" w:xpath="/ns0:coreProperties[1]/ns1:title[1]" w:storeItemID="{6C3C8BC8-F283-45AE-878A-BAB7291924A1}"/>
                              <w:text w:multiLine="1"/>
                            </w:sdtPr>
                            <w:sdtEndPr/>
                            <w:sdtContent>
                              <w:r w:rsidR="00066407">
                                <w:rPr>
                                  <w:rFonts w:eastAsia="Times New Roman"/>
                                </w:rPr>
                                <w:t>EUROPOS PAGALBOS LABIAUSIAI SKURSTANTIEMS ASMENIMS FONDO VEIKSMŲ PROGRAMOS IŠANKSTINIS VERTINIMAS</w:t>
                              </w:r>
                            </w:sdtContent>
                          </w:sdt>
                        </w:p>
                      </w:txbxContent>
                    </v:textbox>
                  </v:shape>
                </w:pict>
              </mc:Fallback>
            </mc:AlternateContent>
          </w:r>
          <w:r w:rsidR="005C0666" w:rsidRPr="00730CC1">
            <w:rPr>
              <w:noProof/>
            </w:rPr>
            <mc:AlternateContent>
              <mc:Choice Requires="wps">
                <w:drawing>
                  <wp:anchor distT="0" distB="0" distL="114300" distR="114300" simplePos="0" relativeHeight="251533312" behindDoc="0" locked="0" layoutInCell="1" allowOverlap="1" wp14:anchorId="3DE71CBB" wp14:editId="3711DC3A">
                    <wp:simplePos x="0" y="0"/>
                    <wp:positionH relativeFrom="column">
                      <wp:posOffset>23495</wp:posOffset>
                    </wp:positionH>
                    <wp:positionV relativeFrom="paragraph">
                      <wp:posOffset>8588375</wp:posOffset>
                    </wp:positionV>
                    <wp:extent cx="2571750" cy="466725"/>
                    <wp:effectExtent l="0" t="0" r="0" b="0"/>
                    <wp:wrapNone/>
                    <wp:docPr id="825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0"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Data"/>
                                  <w:tag w:val="Data"/>
                                  <w:id w:val="-1989776505"/>
                                  <w:lock w:val="sdtLocked"/>
                                  <w:date w:fullDate="2014-08-19T00:00:00Z">
                                    <w:dateFormat w:val="yyyy 'm.' MMMM d 'd.'"/>
                                    <w:lid w:val="lt-LT"/>
                                    <w:storeMappedDataAs w:val="dateTime"/>
                                    <w:calendar w:val="gregorian"/>
                                  </w:date>
                                </w:sdtPr>
                                <w:sdtEndPr/>
                                <w:sdtContent>
                                  <w:p w14:paraId="7D53C7C3" w14:textId="050F0AD5" w:rsidR="00066407" w:rsidRPr="00755F9F" w:rsidRDefault="002178EE" w:rsidP="00755F9F">
                                    <w:pPr>
                                      <w:pStyle w:val="TextWhite"/>
                                    </w:pPr>
                                    <w:r>
                                      <w:t>2014 m. rugpjūčio 19 d.</w:t>
                                    </w:r>
                                  </w:p>
                                </w:sdtContent>
                              </w:sdt>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margin-left:1.85pt;margin-top:676.25pt;width:202.5pt;height:36.7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BRjgIAAIUFAAAOAAAAZHJzL2Uyb0RvYy54bWysVEtv2zAMvg/YfxB0X51keXRGnSJL0WFA&#10;0BZrh54VWUqMSqImKbGzXz9KtpOs26XDLrZEfuLzI6+uG63IXjhfgSno8GJAiTAcyspsCvr96fbD&#10;JSU+MFMyBUYU9CA8vZ6/f3dV21yMYAuqFI6gEePz2hZ0G4LNs8zzrdDMX4AVBpUSnGYBr26TlY7V&#10;aF2rbDQYTLMaXGkdcOE9Sm9aJZ0n+1IKHu6l9CIQVVCMLaSvS991/GbzK5ZvHLPbindhsH+IQrPK&#10;oNOjqRsWGNm56g9TuuIOPMhwwUFnIGXFRcoBsxkOXmXzuGVWpFywON4ey+T/n1l+t39wpCoLejma&#10;DCkxTGOXnkQTyGdoyDgWqLY+R9yjRWRoUIyNTsl6uwL+4hGSnWHaBx7RsSCNdDr+MVWCD7EHh2Pd&#10;oxeOwtFkNpxNUMVRN55OZ6NJ9JudXlvnwxcBmsRDQR32NUXA9isfWmgPic4M3FZKoZzlypC6oNOP&#10;aP43DRpXJkpEYklnJqbRRp5O4aBEa+SbkFillEAUJH6KpXJkz5BZjHNhwrALWhlER5TEIN7ysMOf&#10;onrL4zaP3jOYcHysKwOubVgcq1PY5UsfsmzxXSN9m3csQWjWTaLHkQlrKA9IBAftLHnLbytsyor5&#10;8MAcDg/2ERdCuMePVIDFh+5EyRbcz7/JIx45jVpKahzGgvofO+YEJeqrQbZ/Go7HcXrTZTyZjfDi&#10;zjXrc43Z6SVgV5DOGF06RnxQ/VE60M+4NxbRK6qY4ei7oOv+uAztisC9w8VikUA4r5aFlXm0vOd/&#10;pNxT88yc7XgZkNF30I8ty1/Rs8XG9hpY7ALIKnE31rmtald/nPXE/m4vxWVyfk+o0/ac/wIAAP//&#10;AwBQSwMEFAAGAAgAAAAhAATfan/iAAAACwEAAA8AAABkcnMvZG93bnJldi54bWxMj8tOwzAQRfdI&#10;/IM1SGwQtZumD0KcCiEQLBASLe3ajU0cGo+j2EnTv2dYwXLOXN05k69H17DBdKH2KGE6EcAMll7X&#10;WEn43D7froCFqFCrxqORcDYB1sXlRa4y7U/4YYZNrBiVYMiUBBtjm3EeSmucChPfGqTdl++cijR2&#10;FdedOlG5a3gixII7VSNdsKo1j9aUx03vJPQve3xN7V29e7oZvo/v591buZ9KeX01PtwDi2aMf2H4&#10;1Sd1KMjp4HvUgTUSZksKEp7NkzkwCqRiRehAKE0WAniR8/8/FD8AAAD//wMAUEsBAi0AFAAGAAgA&#10;AAAhALaDOJL+AAAA4QEAABMAAAAAAAAAAAAAAAAAAAAAAFtDb250ZW50X1R5cGVzXS54bWxQSwEC&#10;LQAUAAYACAAAACEAOP0h/9YAAACUAQAACwAAAAAAAAAAAAAAAAAvAQAAX3JlbHMvLnJlbHNQSwEC&#10;LQAUAAYACAAAACEA//XgUY4CAACFBQAADgAAAAAAAAAAAAAAAAAuAgAAZHJzL2Uyb0RvYy54bWxQ&#10;SwECLQAUAAYACAAAACEABN9qf+IAAAALAQAADwAAAAAAAAAAAAAAAADoBAAAZHJzL2Rvd25yZXYu&#10;eG1sUEsFBgAAAAAEAAQA8wAAAPcFAAAAAA==&#10;" filled="f" stroked="f" strokeweight=".5pt">
                    <v:path arrowok="t"/>
                    <v:textbox>
                      <w:txbxContent>
                        <w:sdt>
                          <w:sdtPr>
                            <w:alias w:val="Data"/>
                            <w:tag w:val="Data"/>
                            <w:id w:val="-1989776505"/>
                            <w:lock w:val="sdtLocked"/>
                            <w:date w:fullDate="2014-08-19T00:00:00Z">
                              <w:dateFormat w:val="yyyy 'm.' MMMM d 'd.'"/>
                              <w:lid w:val="lt-LT"/>
                              <w:storeMappedDataAs w:val="dateTime"/>
                              <w:calendar w:val="gregorian"/>
                            </w:date>
                          </w:sdtPr>
                          <w:sdtEndPr/>
                          <w:sdtContent>
                            <w:p w14:paraId="7D53C7C3" w14:textId="050F0AD5" w:rsidR="00066407" w:rsidRPr="00755F9F" w:rsidRDefault="002178EE" w:rsidP="00755F9F">
                              <w:pPr>
                                <w:pStyle w:val="TextWhite"/>
                              </w:pPr>
                              <w:r>
                                <w:t>2014 m. rugpjūčio 19 d.</w:t>
                              </w:r>
                            </w:p>
                          </w:sdtContent>
                        </w:sdt>
                      </w:txbxContent>
                    </v:textbox>
                  </v:shape>
                </w:pict>
              </mc:Fallback>
            </mc:AlternateContent>
          </w:r>
          <w:r w:rsidR="00D47310" w:rsidRPr="00730CC1">
            <w:br w:type="page"/>
          </w:r>
        </w:sdtContent>
      </w:sdt>
    </w:p>
    <w:p w14:paraId="1A2DE0D1" w14:textId="3DAD63F7" w:rsidR="00066407" w:rsidRPr="000F5FD9" w:rsidRDefault="00066407" w:rsidP="00066407">
      <w:pPr>
        <w:jc w:val="both"/>
        <w:rPr>
          <w:rFonts w:asciiTheme="majorHAnsi" w:hAnsiTheme="majorHAnsi" w:cs="Calibri"/>
          <w:sz w:val="22"/>
        </w:rPr>
      </w:pPr>
      <w:r w:rsidRPr="000F5FD9">
        <w:rPr>
          <w:rFonts w:asciiTheme="majorHAnsi" w:hAnsiTheme="majorHAnsi" w:cs="Calibri"/>
          <w:sz w:val="22"/>
        </w:rPr>
        <w:lastRenderedPageBreak/>
        <w:t>Europos pagalbos labiausiai skurstantiems asmenims fondo</w:t>
      </w:r>
      <w:r w:rsidRPr="000F5FD9">
        <w:rPr>
          <w:rFonts w:asciiTheme="majorHAnsi" w:eastAsia="Times New Roman" w:hAnsiTheme="majorHAnsi"/>
          <w:sz w:val="22"/>
        </w:rPr>
        <w:t xml:space="preserve"> veiksmų programos išankstinio </w:t>
      </w:r>
      <w:r w:rsidRPr="000F5FD9">
        <w:rPr>
          <w:rFonts w:asciiTheme="majorHAnsi" w:hAnsiTheme="majorHAnsi" w:cs="Calibri"/>
          <w:sz w:val="22"/>
        </w:rPr>
        <w:t xml:space="preserve">vertinimo ataskaitą Lietuvos Respublikos socialinės apsaugos ir darbo ministerijos užsakymu parengė UAB „PPMI </w:t>
      </w:r>
      <w:proofErr w:type="spellStart"/>
      <w:r w:rsidRPr="000F5FD9">
        <w:rPr>
          <w:rFonts w:asciiTheme="majorHAnsi" w:hAnsiTheme="majorHAnsi" w:cs="Calibri"/>
          <w:sz w:val="22"/>
        </w:rPr>
        <w:t>Group</w:t>
      </w:r>
      <w:proofErr w:type="spellEnd"/>
      <w:r w:rsidRPr="000F5FD9">
        <w:rPr>
          <w:rFonts w:asciiTheme="majorHAnsi" w:hAnsiTheme="majorHAnsi" w:cs="Calibri"/>
          <w:sz w:val="22"/>
        </w:rPr>
        <w:t xml:space="preserve">“ kartu su </w:t>
      </w:r>
      <w:proofErr w:type="spellStart"/>
      <w:r w:rsidRPr="000F5FD9">
        <w:rPr>
          <w:rFonts w:asciiTheme="majorHAnsi" w:hAnsiTheme="majorHAnsi" w:cs="Calibri"/>
          <w:sz w:val="22"/>
        </w:rPr>
        <w:t>VšĮ</w:t>
      </w:r>
      <w:proofErr w:type="spellEnd"/>
      <w:r w:rsidRPr="000F5FD9">
        <w:rPr>
          <w:rFonts w:asciiTheme="majorHAnsi" w:hAnsiTheme="majorHAnsi" w:cs="Calibri"/>
          <w:sz w:val="22"/>
        </w:rPr>
        <w:t xml:space="preserve"> Viešosios politikos ir vadybos institutas pagal 2014 m. birželio 20 d. pasirašytą </w:t>
      </w:r>
      <w:r w:rsidR="00AC59B7" w:rsidRPr="000F5FD9">
        <w:rPr>
          <w:rFonts w:asciiTheme="majorHAnsi" w:hAnsiTheme="majorHAnsi"/>
          <w:sz w:val="22"/>
          <w:lang w:eastAsia="en-US"/>
        </w:rPr>
        <w:t>išankstinio vertinimo paslaugų viešojo pirkimo–pardavimo</w:t>
      </w:r>
      <w:r w:rsidR="00AC59B7" w:rsidRPr="000F5FD9">
        <w:rPr>
          <w:rFonts w:ascii="Times New Roman" w:hAnsi="Times New Roman"/>
          <w:sz w:val="22"/>
          <w:lang w:eastAsia="en-US"/>
        </w:rPr>
        <w:t xml:space="preserve"> </w:t>
      </w:r>
      <w:r w:rsidR="00AC59B7" w:rsidRPr="000F5FD9">
        <w:rPr>
          <w:rFonts w:asciiTheme="majorHAnsi" w:hAnsiTheme="majorHAnsi" w:cs="Calibri"/>
          <w:sz w:val="22"/>
        </w:rPr>
        <w:t>sutartį Nr. D4-181</w:t>
      </w:r>
      <w:r w:rsidRPr="000F5FD9">
        <w:rPr>
          <w:rFonts w:asciiTheme="majorHAnsi" w:hAnsiTheme="majorHAnsi" w:cs="Calibri"/>
          <w:sz w:val="22"/>
        </w:rPr>
        <w:t xml:space="preserve">. </w:t>
      </w:r>
    </w:p>
    <w:p w14:paraId="1293B12D" w14:textId="77777777" w:rsidR="00066407" w:rsidRPr="000F5FD9" w:rsidRDefault="00066407" w:rsidP="00066407">
      <w:pPr>
        <w:jc w:val="both"/>
        <w:rPr>
          <w:rFonts w:asciiTheme="majorHAnsi" w:hAnsiTheme="majorHAnsi" w:cs="Calibri"/>
          <w:sz w:val="22"/>
        </w:rPr>
      </w:pPr>
    </w:p>
    <w:p w14:paraId="4700BF59" w14:textId="77777777" w:rsidR="00066407" w:rsidRPr="000F5FD9" w:rsidRDefault="00066407" w:rsidP="00066407">
      <w:pPr>
        <w:jc w:val="both"/>
        <w:rPr>
          <w:rFonts w:asciiTheme="majorHAnsi" w:hAnsiTheme="majorHAnsi" w:cs="Calibri"/>
          <w:sz w:val="22"/>
        </w:rPr>
      </w:pPr>
      <w:r w:rsidRPr="000F5FD9">
        <w:rPr>
          <w:rFonts w:asciiTheme="majorHAnsi" w:hAnsiTheme="majorHAnsi" w:cs="Calibri"/>
          <w:sz w:val="22"/>
        </w:rPr>
        <w:t>Vertinimo ataskaita patikrinta lietuvių kalbos redaktorės Justės Matijošienės.</w:t>
      </w:r>
    </w:p>
    <w:p w14:paraId="02B9956C" w14:textId="77777777" w:rsidR="00066407" w:rsidRPr="000F5FD9" w:rsidRDefault="00066407" w:rsidP="00066407">
      <w:pPr>
        <w:rPr>
          <w:rFonts w:asciiTheme="majorHAnsi" w:hAnsiTheme="majorHAnsi" w:cs="Calibri"/>
          <w:sz w:val="22"/>
        </w:rPr>
      </w:pPr>
    </w:p>
    <w:p w14:paraId="24A60CC7" w14:textId="77777777" w:rsidR="00066407" w:rsidRPr="000F5FD9" w:rsidRDefault="00066407" w:rsidP="00066407">
      <w:pPr>
        <w:rPr>
          <w:rFonts w:asciiTheme="majorHAnsi" w:hAnsiTheme="majorHAnsi" w:cs="Calibri"/>
          <w:sz w:val="22"/>
        </w:rPr>
      </w:pPr>
      <w:r w:rsidRPr="000F5FD9">
        <w:rPr>
          <w:rFonts w:asciiTheme="majorHAnsi" w:hAnsiTheme="majorHAnsi" w:cs="Calibri"/>
          <w:sz w:val="22"/>
        </w:rPr>
        <w:tab/>
      </w:r>
      <w:r w:rsidRPr="000F5FD9">
        <w:rPr>
          <w:rFonts w:asciiTheme="majorHAnsi" w:hAnsiTheme="majorHAnsi" w:cs="Calibri"/>
          <w:sz w:val="22"/>
        </w:rPr>
        <w:tab/>
      </w:r>
      <w:r w:rsidRPr="000F5FD9">
        <w:rPr>
          <w:rFonts w:asciiTheme="majorHAnsi" w:hAnsiTheme="majorHAnsi" w:cs="Calibri"/>
          <w:sz w:val="22"/>
        </w:rPr>
        <w:tab/>
      </w:r>
      <w:r w:rsidRPr="000F5FD9">
        <w:rPr>
          <w:rFonts w:asciiTheme="majorHAnsi" w:hAnsiTheme="majorHAnsi" w:cs="Calibri"/>
          <w:sz w:val="22"/>
        </w:rPr>
        <w:tab/>
      </w:r>
      <w:r w:rsidRPr="000F5FD9">
        <w:rPr>
          <w:rFonts w:asciiTheme="majorHAnsi" w:hAnsiTheme="majorHAnsi" w:cs="Calibri"/>
          <w:sz w:val="22"/>
        </w:rPr>
        <w:tab/>
      </w:r>
      <w:r w:rsidRPr="000F5FD9">
        <w:rPr>
          <w:rFonts w:asciiTheme="majorHAnsi" w:hAnsiTheme="majorHAnsi" w:cs="Calibri"/>
          <w:sz w:val="22"/>
        </w:rPr>
        <w:tab/>
        <w:t>(parašas)</w:t>
      </w:r>
    </w:p>
    <w:p w14:paraId="207836DA" w14:textId="3B9EBBE9" w:rsidR="00C47B57" w:rsidRPr="00730CC1" w:rsidRDefault="00C47B57" w:rsidP="00066407">
      <w:pPr>
        <w:pStyle w:val="Text"/>
        <w:ind w:left="0"/>
        <w:rPr>
          <w:rStyle w:val="Heading1Char"/>
          <w:rFonts w:eastAsiaTheme="minorEastAsia" w:cstheme="minorBidi"/>
          <w:bCs w:val="0"/>
          <w:caps w:val="0"/>
          <w:color w:val="auto"/>
          <w:sz w:val="24"/>
          <w:szCs w:val="22"/>
        </w:rPr>
      </w:pPr>
    </w:p>
    <w:p w14:paraId="48EE3941" w14:textId="77777777" w:rsidR="00583F2F" w:rsidRPr="00730CC1" w:rsidRDefault="00583F2F">
      <w:pPr>
        <w:spacing w:after="200"/>
        <w:rPr>
          <w:rStyle w:val="Heading1Char"/>
        </w:rPr>
      </w:pPr>
      <w:r w:rsidRPr="00730CC1">
        <w:rPr>
          <w:rStyle w:val="Heading1Char"/>
        </w:rPr>
        <w:br w:type="page"/>
      </w:r>
    </w:p>
    <w:bookmarkStart w:id="0" w:name="_Toc393467604" w:displacedByCustomXml="next"/>
    <w:sdt>
      <w:sdtPr>
        <w:rPr>
          <w:rFonts w:eastAsiaTheme="minorEastAsia" w:cstheme="minorBidi"/>
          <w:bCs w:val="0"/>
          <w:caps w:val="0"/>
          <w:color w:val="auto"/>
          <w:sz w:val="22"/>
          <w:szCs w:val="22"/>
          <w:lang w:val="lt-LT" w:eastAsia="lt-LT"/>
        </w:rPr>
        <w:id w:val="1626651322"/>
        <w:docPartObj>
          <w:docPartGallery w:val="Table of Contents"/>
          <w:docPartUnique/>
        </w:docPartObj>
      </w:sdtPr>
      <w:sdtEndPr>
        <w:rPr>
          <w:b/>
          <w:sz w:val="24"/>
        </w:rPr>
      </w:sdtEndPr>
      <w:sdtContent>
        <w:p w14:paraId="6BEBAEEC" w14:textId="77777777" w:rsidR="00066407" w:rsidRPr="00730CC1" w:rsidRDefault="00066407" w:rsidP="00066407">
          <w:pPr>
            <w:pStyle w:val="TOCHeading"/>
            <w:rPr>
              <w:lang w:val="lt-LT"/>
            </w:rPr>
          </w:pPr>
          <w:r w:rsidRPr="00730CC1">
            <w:rPr>
              <w:lang w:val="lt-LT"/>
            </w:rPr>
            <w:t>Turinys</w:t>
          </w:r>
        </w:p>
        <w:p w14:paraId="4BA28C25" w14:textId="77777777" w:rsidR="00066407" w:rsidRPr="00730CC1" w:rsidRDefault="00066407" w:rsidP="00066407">
          <w:pPr>
            <w:pStyle w:val="TOC1"/>
            <w:rPr>
              <w:rFonts w:asciiTheme="minorHAnsi" w:hAnsiTheme="minorHAnsi"/>
              <w:noProof/>
              <w:color w:val="auto"/>
            </w:rPr>
          </w:pPr>
          <w:r w:rsidRPr="00730CC1">
            <w:rPr>
              <w:i/>
              <w:noProof/>
            </w:rPr>
            <w:fldChar w:fldCharType="begin"/>
          </w:r>
          <w:r w:rsidRPr="00730CC1">
            <w:instrText xml:space="preserve"> TOC \o "1-5" \h \z \u </w:instrText>
          </w:r>
          <w:r w:rsidRPr="00730CC1">
            <w:rPr>
              <w:i/>
              <w:noProof/>
            </w:rPr>
            <w:fldChar w:fldCharType="separate"/>
          </w:r>
          <w:hyperlink w:anchor="_Toc393467604" w:history="1">
            <w:r w:rsidRPr="00730CC1">
              <w:rPr>
                <w:rStyle w:val="Hyperlink"/>
                <w:noProof/>
              </w:rPr>
              <w:t>ĮVADAS</w:t>
            </w:r>
            <w:r w:rsidRPr="00730CC1">
              <w:rPr>
                <w:noProof/>
                <w:webHidden/>
              </w:rPr>
              <w:tab/>
            </w:r>
            <w:r w:rsidRPr="00730CC1">
              <w:rPr>
                <w:noProof/>
                <w:webHidden/>
              </w:rPr>
              <w:fldChar w:fldCharType="begin"/>
            </w:r>
            <w:r w:rsidRPr="00730CC1">
              <w:rPr>
                <w:noProof/>
                <w:webHidden/>
              </w:rPr>
              <w:instrText xml:space="preserve"> PAGEREF _Toc393467604 \h </w:instrText>
            </w:r>
            <w:r w:rsidRPr="00730CC1">
              <w:rPr>
                <w:noProof/>
                <w:webHidden/>
              </w:rPr>
            </w:r>
            <w:r w:rsidRPr="00730CC1">
              <w:rPr>
                <w:noProof/>
                <w:webHidden/>
              </w:rPr>
              <w:fldChar w:fldCharType="separate"/>
            </w:r>
            <w:r w:rsidR="002178EE">
              <w:rPr>
                <w:noProof/>
                <w:webHidden/>
              </w:rPr>
              <w:t>3</w:t>
            </w:r>
            <w:r w:rsidRPr="00730CC1">
              <w:rPr>
                <w:noProof/>
                <w:webHidden/>
              </w:rPr>
              <w:fldChar w:fldCharType="end"/>
            </w:r>
          </w:hyperlink>
        </w:p>
        <w:p w14:paraId="35E73D63" w14:textId="77777777" w:rsidR="00066407" w:rsidRPr="00730CC1" w:rsidRDefault="006D6B40" w:rsidP="00066407">
          <w:pPr>
            <w:pStyle w:val="TOC1"/>
            <w:tabs>
              <w:tab w:val="left" w:pos="794"/>
            </w:tabs>
            <w:rPr>
              <w:rFonts w:asciiTheme="minorHAnsi" w:hAnsiTheme="minorHAnsi"/>
              <w:noProof/>
              <w:color w:val="auto"/>
            </w:rPr>
          </w:pPr>
          <w:hyperlink w:anchor="_Toc393467605" w:history="1">
            <w:r w:rsidR="00066407" w:rsidRPr="00730CC1">
              <w:rPr>
                <w:rStyle w:val="Hyperlink"/>
                <w:noProof/>
              </w:rPr>
              <w:t>1.</w:t>
            </w:r>
            <w:r w:rsidR="00066407" w:rsidRPr="00730CC1">
              <w:rPr>
                <w:rFonts w:asciiTheme="minorHAnsi" w:hAnsiTheme="minorHAnsi"/>
                <w:noProof/>
                <w:color w:val="auto"/>
              </w:rPr>
              <w:tab/>
            </w:r>
            <w:r w:rsidR="00066407" w:rsidRPr="00730CC1">
              <w:rPr>
                <w:rStyle w:val="Hyperlink"/>
                <w:noProof/>
              </w:rPr>
              <w:t>VEIKSMŲ PROGRAMOS INTERVENCIJŲ LOGIKOS ĮVERTINIMAS</w:t>
            </w:r>
            <w:r w:rsidR="00066407" w:rsidRPr="00730CC1">
              <w:rPr>
                <w:noProof/>
                <w:webHidden/>
              </w:rPr>
              <w:tab/>
            </w:r>
            <w:r w:rsidR="00066407" w:rsidRPr="00730CC1">
              <w:rPr>
                <w:noProof/>
                <w:webHidden/>
              </w:rPr>
              <w:fldChar w:fldCharType="begin"/>
            </w:r>
            <w:r w:rsidR="00066407" w:rsidRPr="00730CC1">
              <w:rPr>
                <w:noProof/>
                <w:webHidden/>
              </w:rPr>
              <w:instrText xml:space="preserve"> PAGEREF _Toc393467605 \h </w:instrText>
            </w:r>
            <w:r w:rsidR="00066407" w:rsidRPr="00730CC1">
              <w:rPr>
                <w:noProof/>
                <w:webHidden/>
              </w:rPr>
            </w:r>
            <w:r w:rsidR="00066407" w:rsidRPr="00730CC1">
              <w:rPr>
                <w:noProof/>
                <w:webHidden/>
              </w:rPr>
              <w:fldChar w:fldCharType="separate"/>
            </w:r>
            <w:r w:rsidR="002178EE">
              <w:rPr>
                <w:noProof/>
                <w:webHidden/>
              </w:rPr>
              <w:t>7</w:t>
            </w:r>
            <w:r w:rsidR="00066407" w:rsidRPr="00730CC1">
              <w:rPr>
                <w:noProof/>
                <w:webHidden/>
              </w:rPr>
              <w:fldChar w:fldCharType="end"/>
            </w:r>
          </w:hyperlink>
        </w:p>
        <w:p w14:paraId="032ABF8F" w14:textId="77777777" w:rsidR="00066407" w:rsidRPr="00730CC1" w:rsidRDefault="006D6B40" w:rsidP="00066407">
          <w:pPr>
            <w:pStyle w:val="TOC2"/>
            <w:rPr>
              <w:bCs w:val="0"/>
              <w:color w:val="auto"/>
              <w:sz w:val="22"/>
              <w:szCs w:val="22"/>
            </w:rPr>
          </w:pPr>
          <w:hyperlink w:anchor="_Toc393467606" w:history="1">
            <w:r w:rsidR="00066407" w:rsidRPr="00730CC1">
              <w:rPr>
                <w:rStyle w:val="Hyperlink"/>
                <w:rFonts w:eastAsiaTheme="majorEastAsia"/>
              </w:rPr>
              <w:t>2.</w:t>
            </w:r>
            <w:r w:rsidR="00066407" w:rsidRPr="00730CC1">
              <w:rPr>
                <w:bCs w:val="0"/>
                <w:color w:val="auto"/>
                <w:sz w:val="22"/>
                <w:szCs w:val="22"/>
              </w:rPr>
              <w:tab/>
            </w:r>
            <w:r w:rsidR="00066407" w:rsidRPr="00730CC1">
              <w:rPr>
                <w:rStyle w:val="Hyperlink"/>
                <w:rFonts w:eastAsiaTheme="majorEastAsia"/>
              </w:rPr>
              <w:t>STEBĖSENOS RODIKLIŲ TINKAMUMAS IR REALISTIŠKUMAS</w:t>
            </w:r>
            <w:r w:rsidR="00066407" w:rsidRPr="00730CC1">
              <w:rPr>
                <w:webHidden/>
              </w:rPr>
              <w:tab/>
            </w:r>
            <w:r w:rsidR="00066407" w:rsidRPr="00730CC1">
              <w:rPr>
                <w:webHidden/>
              </w:rPr>
              <w:fldChar w:fldCharType="begin"/>
            </w:r>
            <w:r w:rsidR="00066407" w:rsidRPr="00730CC1">
              <w:rPr>
                <w:webHidden/>
              </w:rPr>
              <w:instrText xml:space="preserve"> PAGEREF _Toc393467606 \h </w:instrText>
            </w:r>
            <w:r w:rsidR="00066407" w:rsidRPr="00730CC1">
              <w:rPr>
                <w:webHidden/>
              </w:rPr>
            </w:r>
            <w:r w:rsidR="00066407" w:rsidRPr="00730CC1">
              <w:rPr>
                <w:webHidden/>
              </w:rPr>
              <w:fldChar w:fldCharType="separate"/>
            </w:r>
            <w:r w:rsidR="002178EE">
              <w:rPr>
                <w:webHidden/>
              </w:rPr>
              <w:t>14</w:t>
            </w:r>
            <w:r w:rsidR="00066407" w:rsidRPr="00730CC1">
              <w:rPr>
                <w:webHidden/>
              </w:rPr>
              <w:fldChar w:fldCharType="end"/>
            </w:r>
          </w:hyperlink>
        </w:p>
        <w:p w14:paraId="1A037418" w14:textId="77777777" w:rsidR="00066407" w:rsidRPr="00730CC1" w:rsidRDefault="006D6B40" w:rsidP="00066407">
          <w:pPr>
            <w:pStyle w:val="TOC2"/>
            <w:rPr>
              <w:bCs w:val="0"/>
              <w:color w:val="auto"/>
              <w:sz w:val="22"/>
              <w:szCs w:val="22"/>
            </w:rPr>
          </w:pPr>
          <w:hyperlink w:anchor="_Toc393467607" w:history="1">
            <w:r w:rsidR="00066407" w:rsidRPr="00730CC1">
              <w:rPr>
                <w:rStyle w:val="Hyperlink"/>
                <w:rFonts w:eastAsiaTheme="majorEastAsia"/>
              </w:rPr>
              <w:t>3.</w:t>
            </w:r>
            <w:r w:rsidR="00066407" w:rsidRPr="00730CC1">
              <w:rPr>
                <w:bCs w:val="0"/>
                <w:color w:val="auto"/>
                <w:sz w:val="22"/>
                <w:szCs w:val="22"/>
              </w:rPr>
              <w:tab/>
            </w:r>
            <w:r w:rsidR="00066407" w:rsidRPr="00730CC1">
              <w:rPr>
                <w:rStyle w:val="Hyperlink"/>
                <w:rFonts w:eastAsiaTheme="majorEastAsia"/>
              </w:rPr>
              <w:t>VEIKSMŲ PROGRAMOS ĮGYVENDINIMO SISTEMA</w:t>
            </w:r>
            <w:r w:rsidR="00066407" w:rsidRPr="00730CC1">
              <w:rPr>
                <w:webHidden/>
              </w:rPr>
              <w:tab/>
            </w:r>
            <w:r w:rsidR="00066407" w:rsidRPr="00730CC1">
              <w:rPr>
                <w:webHidden/>
              </w:rPr>
              <w:fldChar w:fldCharType="begin"/>
            </w:r>
            <w:r w:rsidR="00066407" w:rsidRPr="00730CC1">
              <w:rPr>
                <w:webHidden/>
              </w:rPr>
              <w:instrText xml:space="preserve"> PAGEREF _Toc393467607 \h </w:instrText>
            </w:r>
            <w:r w:rsidR="00066407" w:rsidRPr="00730CC1">
              <w:rPr>
                <w:webHidden/>
              </w:rPr>
            </w:r>
            <w:r w:rsidR="00066407" w:rsidRPr="00730CC1">
              <w:rPr>
                <w:webHidden/>
              </w:rPr>
              <w:fldChar w:fldCharType="separate"/>
            </w:r>
            <w:r w:rsidR="002178EE">
              <w:rPr>
                <w:webHidden/>
              </w:rPr>
              <w:t>16</w:t>
            </w:r>
            <w:r w:rsidR="00066407" w:rsidRPr="00730CC1">
              <w:rPr>
                <w:webHidden/>
              </w:rPr>
              <w:fldChar w:fldCharType="end"/>
            </w:r>
          </w:hyperlink>
        </w:p>
        <w:p w14:paraId="11897778" w14:textId="77777777" w:rsidR="00066407" w:rsidRPr="00730CC1" w:rsidRDefault="006D6B40" w:rsidP="00066407">
          <w:pPr>
            <w:pStyle w:val="TOC2"/>
            <w:rPr>
              <w:bCs w:val="0"/>
              <w:color w:val="auto"/>
              <w:sz w:val="22"/>
              <w:szCs w:val="22"/>
            </w:rPr>
          </w:pPr>
          <w:hyperlink w:anchor="_Toc393467608" w:history="1">
            <w:r w:rsidR="00066407" w:rsidRPr="00730CC1">
              <w:rPr>
                <w:rStyle w:val="Hyperlink"/>
                <w:rFonts w:eastAsiaTheme="majorEastAsia"/>
              </w:rPr>
              <w:t>4.</w:t>
            </w:r>
            <w:r w:rsidR="00066407" w:rsidRPr="00730CC1">
              <w:rPr>
                <w:bCs w:val="0"/>
                <w:color w:val="auto"/>
                <w:sz w:val="22"/>
                <w:szCs w:val="22"/>
              </w:rPr>
              <w:tab/>
            </w:r>
            <w:r w:rsidR="00066407" w:rsidRPr="00730CC1">
              <w:rPr>
                <w:rStyle w:val="Hyperlink"/>
                <w:rFonts w:eastAsiaTheme="majorEastAsia"/>
              </w:rPr>
              <w:t>PARTNERYSTĖS PRINCIPO ĮGYVENDINIMAS</w:t>
            </w:r>
            <w:r w:rsidR="00066407" w:rsidRPr="00730CC1">
              <w:rPr>
                <w:webHidden/>
              </w:rPr>
              <w:tab/>
            </w:r>
            <w:r w:rsidR="00066407" w:rsidRPr="00730CC1">
              <w:rPr>
                <w:webHidden/>
              </w:rPr>
              <w:fldChar w:fldCharType="begin"/>
            </w:r>
            <w:r w:rsidR="00066407" w:rsidRPr="00730CC1">
              <w:rPr>
                <w:webHidden/>
              </w:rPr>
              <w:instrText xml:space="preserve"> PAGEREF _Toc393467608 \h </w:instrText>
            </w:r>
            <w:r w:rsidR="00066407" w:rsidRPr="00730CC1">
              <w:rPr>
                <w:webHidden/>
              </w:rPr>
            </w:r>
            <w:r w:rsidR="00066407" w:rsidRPr="00730CC1">
              <w:rPr>
                <w:webHidden/>
              </w:rPr>
              <w:fldChar w:fldCharType="separate"/>
            </w:r>
            <w:r w:rsidR="002178EE">
              <w:rPr>
                <w:webHidden/>
              </w:rPr>
              <w:t>19</w:t>
            </w:r>
            <w:r w:rsidR="00066407" w:rsidRPr="00730CC1">
              <w:rPr>
                <w:webHidden/>
              </w:rPr>
              <w:fldChar w:fldCharType="end"/>
            </w:r>
          </w:hyperlink>
        </w:p>
        <w:p w14:paraId="61B8EA4B" w14:textId="77777777" w:rsidR="00066407" w:rsidRPr="00730CC1" w:rsidRDefault="006D6B40" w:rsidP="00066407">
          <w:pPr>
            <w:pStyle w:val="TOC2"/>
            <w:rPr>
              <w:bCs w:val="0"/>
              <w:color w:val="auto"/>
              <w:sz w:val="22"/>
              <w:szCs w:val="22"/>
            </w:rPr>
          </w:pPr>
          <w:hyperlink w:anchor="_Toc393467609" w:history="1">
            <w:r w:rsidR="00066407" w:rsidRPr="00730CC1">
              <w:rPr>
                <w:rStyle w:val="Hyperlink"/>
                <w:rFonts w:eastAsiaTheme="majorEastAsia"/>
              </w:rPr>
              <w:t>PASIŪLYMAI DĖL VEIKSMŲ PROGRAMOS TOBULINIMO</w:t>
            </w:r>
            <w:r w:rsidR="00066407" w:rsidRPr="00730CC1">
              <w:rPr>
                <w:webHidden/>
              </w:rPr>
              <w:tab/>
            </w:r>
            <w:r w:rsidR="00066407" w:rsidRPr="00730CC1">
              <w:rPr>
                <w:webHidden/>
              </w:rPr>
              <w:fldChar w:fldCharType="begin"/>
            </w:r>
            <w:r w:rsidR="00066407" w:rsidRPr="00730CC1">
              <w:rPr>
                <w:webHidden/>
              </w:rPr>
              <w:instrText xml:space="preserve"> PAGEREF _Toc393467609 \h </w:instrText>
            </w:r>
            <w:r w:rsidR="00066407" w:rsidRPr="00730CC1">
              <w:rPr>
                <w:webHidden/>
              </w:rPr>
            </w:r>
            <w:r w:rsidR="00066407" w:rsidRPr="00730CC1">
              <w:rPr>
                <w:webHidden/>
              </w:rPr>
              <w:fldChar w:fldCharType="separate"/>
            </w:r>
            <w:r w:rsidR="002178EE">
              <w:rPr>
                <w:webHidden/>
              </w:rPr>
              <w:t>21</w:t>
            </w:r>
            <w:r w:rsidR="00066407" w:rsidRPr="00730CC1">
              <w:rPr>
                <w:webHidden/>
              </w:rPr>
              <w:fldChar w:fldCharType="end"/>
            </w:r>
          </w:hyperlink>
        </w:p>
        <w:p w14:paraId="0E0125D4" w14:textId="77777777" w:rsidR="00066407" w:rsidRPr="00730CC1" w:rsidRDefault="006D6B40" w:rsidP="00066407">
          <w:pPr>
            <w:pStyle w:val="TOC2"/>
            <w:rPr>
              <w:bCs w:val="0"/>
              <w:color w:val="auto"/>
              <w:sz w:val="22"/>
              <w:szCs w:val="22"/>
            </w:rPr>
          </w:pPr>
          <w:hyperlink w:anchor="_Toc393467610" w:history="1">
            <w:r w:rsidR="00066407" w:rsidRPr="00730CC1">
              <w:rPr>
                <w:rStyle w:val="Hyperlink"/>
                <w:rFonts w:eastAsiaTheme="majorEastAsia"/>
              </w:rPr>
              <w:t>LITERATŪROS IR ŠALTINIŲ SĄRAŠAS</w:t>
            </w:r>
            <w:r w:rsidR="00066407" w:rsidRPr="00730CC1">
              <w:rPr>
                <w:webHidden/>
              </w:rPr>
              <w:tab/>
            </w:r>
            <w:r w:rsidR="00066407" w:rsidRPr="00730CC1">
              <w:rPr>
                <w:webHidden/>
              </w:rPr>
              <w:fldChar w:fldCharType="begin"/>
            </w:r>
            <w:r w:rsidR="00066407" w:rsidRPr="00730CC1">
              <w:rPr>
                <w:webHidden/>
              </w:rPr>
              <w:instrText xml:space="preserve"> PAGEREF _Toc393467610 \h </w:instrText>
            </w:r>
            <w:r w:rsidR="00066407" w:rsidRPr="00730CC1">
              <w:rPr>
                <w:webHidden/>
              </w:rPr>
            </w:r>
            <w:r w:rsidR="00066407" w:rsidRPr="00730CC1">
              <w:rPr>
                <w:webHidden/>
              </w:rPr>
              <w:fldChar w:fldCharType="separate"/>
            </w:r>
            <w:r w:rsidR="002178EE">
              <w:rPr>
                <w:webHidden/>
              </w:rPr>
              <w:t>23</w:t>
            </w:r>
            <w:r w:rsidR="00066407" w:rsidRPr="00730CC1">
              <w:rPr>
                <w:webHidden/>
              </w:rPr>
              <w:fldChar w:fldCharType="end"/>
            </w:r>
          </w:hyperlink>
        </w:p>
        <w:p w14:paraId="5D14DCAD" w14:textId="77777777" w:rsidR="00066407" w:rsidRDefault="00066407" w:rsidP="00066407">
          <w:pPr>
            <w:outlineLvl w:val="2"/>
            <w:rPr>
              <w:b/>
            </w:rPr>
          </w:pPr>
          <w:r w:rsidRPr="00730CC1">
            <w:rPr>
              <w:color w:val="343435"/>
              <w:sz w:val="22"/>
            </w:rPr>
            <w:fldChar w:fldCharType="end"/>
          </w:r>
        </w:p>
      </w:sdtContent>
    </w:sdt>
    <w:p w14:paraId="2803AFC1" w14:textId="77777777" w:rsidR="00066407" w:rsidRDefault="00066407" w:rsidP="00066407">
      <w:pPr>
        <w:pStyle w:val="Text"/>
        <w:ind w:left="0"/>
        <w:rPr>
          <w:rStyle w:val="Heading1Char"/>
          <w:noProof w:val="0"/>
        </w:rPr>
      </w:pPr>
    </w:p>
    <w:p w14:paraId="1BEA1C05" w14:textId="12E374D9" w:rsidR="00066407" w:rsidRPr="00AC59B7" w:rsidRDefault="00066407">
      <w:pPr>
        <w:spacing w:after="200"/>
        <w:rPr>
          <w:rStyle w:val="Heading1Char"/>
        </w:rPr>
      </w:pPr>
      <w:r>
        <w:rPr>
          <w:rStyle w:val="Heading1Char"/>
        </w:rPr>
        <w:br w:type="page"/>
      </w:r>
    </w:p>
    <w:p w14:paraId="31CB653D" w14:textId="03B6EE8C" w:rsidR="0096634C" w:rsidRPr="00730CC1" w:rsidRDefault="00D51DAA" w:rsidP="00440F15">
      <w:pPr>
        <w:pStyle w:val="Heading1"/>
        <w:spacing w:after="240"/>
        <w:ind w:left="363"/>
        <w:rPr>
          <w:rStyle w:val="Heading1Char"/>
        </w:rPr>
      </w:pPr>
      <w:r w:rsidRPr="00730CC1">
        <w:rPr>
          <w:rStyle w:val="Heading1Char"/>
        </w:rPr>
        <w:lastRenderedPageBreak/>
        <w:t>ĮVADAS</w:t>
      </w:r>
      <w:bookmarkEnd w:id="0"/>
    </w:p>
    <w:p w14:paraId="03328A22" w14:textId="7F52EFFC" w:rsidR="00596FDB" w:rsidRPr="00730CC1" w:rsidRDefault="00596FDB" w:rsidP="00440F15">
      <w:pPr>
        <w:spacing w:after="120"/>
        <w:ind w:left="363"/>
        <w:jc w:val="both"/>
        <w:rPr>
          <w:sz w:val="22"/>
        </w:rPr>
      </w:pPr>
      <w:r w:rsidRPr="00730CC1">
        <w:rPr>
          <w:sz w:val="22"/>
        </w:rPr>
        <w:t>2014</w:t>
      </w:r>
      <w:r w:rsidR="00547417">
        <w:rPr>
          <w:sz w:val="22"/>
        </w:rPr>
        <w:t>–</w:t>
      </w:r>
      <w:r w:rsidRPr="00730CC1">
        <w:rPr>
          <w:sz w:val="22"/>
        </w:rPr>
        <w:t xml:space="preserve">2020 m. laikotarpiu Europos pagalbos labiausiai skurstantiems asmenims fondo (toliau – Fondas) teikiama parama yra viena iš naujų Europos Komisijos (toliau </w:t>
      </w:r>
      <w:r w:rsidR="00547417">
        <w:rPr>
          <w:sz w:val="22"/>
        </w:rPr>
        <w:t>–</w:t>
      </w:r>
      <w:r w:rsidRPr="00730CC1">
        <w:rPr>
          <w:sz w:val="22"/>
        </w:rPr>
        <w:t xml:space="preserve"> EK) pasiūlytų priemonių, kuri</w:t>
      </w:r>
      <w:r w:rsidR="00A074BA" w:rsidRPr="00730CC1">
        <w:rPr>
          <w:sz w:val="22"/>
        </w:rPr>
        <w:t>ą</w:t>
      </w:r>
      <w:r w:rsidRPr="00730CC1">
        <w:rPr>
          <w:sz w:val="22"/>
        </w:rPr>
        <w:t xml:space="preserve"> įgyvendinant ketinama padėti labiausiai skurstantiems žmonėms (įskaitant benamius ir materialinį nepriteklių </w:t>
      </w:r>
      <w:r w:rsidR="00962400">
        <w:rPr>
          <w:sz w:val="22"/>
        </w:rPr>
        <w:t>patiriančius</w:t>
      </w:r>
      <w:r w:rsidR="00962400" w:rsidRPr="00730CC1">
        <w:rPr>
          <w:sz w:val="22"/>
        </w:rPr>
        <w:t xml:space="preserve"> </w:t>
      </w:r>
      <w:r w:rsidRPr="00730CC1">
        <w:rPr>
          <w:sz w:val="22"/>
        </w:rPr>
        <w:t>vaik</w:t>
      </w:r>
      <w:r w:rsidR="00962400">
        <w:rPr>
          <w:sz w:val="22"/>
        </w:rPr>
        <w:t>us</w:t>
      </w:r>
      <w:r w:rsidRPr="00730CC1">
        <w:rPr>
          <w:sz w:val="22"/>
        </w:rPr>
        <w:t>) išbristi iš skurdo</w:t>
      </w:r>
      <w:r w:rsidR="00A074BA" w:rsidRPr="00730CC1">
        <w:rPr>
          <w:sz w:val="22"/>
        </w:rPr>
        <w:t>. Taip</w:t>
      </w:r>
      <w:r w:rsidRPr="00730CC1">
        <w:rPr>
          <w:sz w:val="22"/>
        </w:rPr>
        <w:t xml:space="preserve"> </w:t>
      </w:r>
      <w:r w:rsidR="00A074BA" w:rsidRPr="00730CC1">
        <w:rPr>
          <w:sz w:val="22"/>
        </w:rPr>
        <w:t>siekiama</w:t>
      </w:r>
      <w:r w:rsidRPr="00730CC1">
        <w:rPr>
          <w:sz w:val="22"/>
        </w:rPr>
        <w:t xml:space="preserve"> prisidėti </w:t>
      </w:r>
      <w:r w:rsidR="00A074BA" w:rsidRPr="00730CC1">
        <w:rPr>
          <w:sz w:val="22"/>
        </w:rPr>
        <w:t>prie</w:t>
      </w:r>
      <w:r w:rsidRPr="00730CC1">
        <w:rPr>
          <w:sz w:val="22"/>
        </w:rPr>
        <w:t xml:space="preserve"> strategijos „Europa 2020“ tikslo iki 2020 m. sumažinti skurdą arba skurdo riziką patiriančių žmonių skaičių bent 20 milijonų</w:t>
      </w:r>
      <w:r w:rsidR="00A074BA" w:rsidRPr="00730CC1">
        <w:rPr>
          <w:sz w:val="22"/>
        </w:rPr>
        <w:t xml:space="preserve"> įgyvendinimo</w:t>
      </w:r>
      <w:r w:rsidRPr="00730CC1">
        <w:rPr>
          <w:sz w:val="22"/>
        </w:rPr>
        <w:t>. Fondas remia nacionalines nefinansinės pagalbos sistemas, nukreiptas į maisto ir itin didelio materialinio nepritekliaus mažinimą, papildydamas ES struktūrinių fondų ir kitų ES ir nacionalinių pol</w:t>
      </w:r>
      <w:r w:rsidR="00A074BA" w:rsidRPr="00730CC1">
        <w:rPr>
          <w:sz w:val="22"/>
        </w:rPr>
        <w:t>i</w:t>
      </w:r>
      <w:r w:rsidRPr="00730CC1">
        <w:rPr>
          <w:sz w:val="22"/>
        </w:rPr>
        <w:t xml:space="preserve">tikų intervencijas, skirtas mažinti įvairių formų skurdą ir skatinti labiausiai skurstančių asmenų socialinę įtrauktį. </w:t>
      </w:r>
    </w:p>
    <w:p w14:paraId="267D30A7" w14:textId="609E27B1" w:rsidR="00767E0C" w:rsidRPr="00730CC1" w:rsidRDefault="00767E0C" w:rsidP="00440F15">
      <w:pPr>
        <w:pStyle w:val="CM1"/>
        <w:spacing w:before="200" w:after="200" w:line="276" w:lineRule="auto"/>
        <w:ind w:left="363"/>
        <w:jc w:val="both"/>
        <w:rPr>
          <w:rFonts w:ascii="Cambria" w:hAnsi="Cambria" w:cs="EUAlbertina"/>
          <w:color w:val="000000"/>
          <w:sz w:val="22"/>
          <w:szCs w:val="22"/>
        </w:rPr>
      </w:pPr>
      <w:r w:rsidRPr="00730CC1">
        <w:rPr>
          <w:rFonts w:ascii="Cambria" w:hAnsi="Cambria"/>
          <w:sz w:val="22"/>
          <w:szCs w:val="22"/>
        </w:rPr>
        <w:t>Europos Parlamento ir Tarybos reglamente (ES) Nr. 223/2014 dėl Europos pagalbos labiausiai skurstantiems asmenims</w:t>
      </w:r>
      <w:r w:rsidRPr="00730CC1">
        <w:rPr>
          <w:rStyle w:val="FootnoteReference"/>
          <w:rFonts w:ascii="Cambria" w:hAnsi="Cambria"/>
          <w:sz w:val="22"/>
          <w:szCs w:val="22"/>
        </w:rPr>
        <w:footnoteReference w:id="2"/>
      </w:r>
      <w:r w:rsidR="00547417">
        <w:rPr>
          <w:rFonts w:ascii="Cambria" w:hAnsi="Cambria"/>
          <w:sz w:val="22"/>
          <w:szCs w:val="22"/>
        </w:rPr>
        <w:t xml:space="preserve"> </w:t>
      </w:r>
      <w:r w:rsidRPr="00730CC1">
        <w:rPr>
          <w:rFonts w:ascii="Cambria" w:hAnsi="Cambria"/>
          <w:sz w:val="22"/>
          <w:szCs w:val="22"/>
        </w:rPr>
        <w:t xml:space="preserve">(toliau – Reglamentas) yra nustatyta, kad valstybės narės, atsižvelgdamos į </w:t>
      </w:r>
      <w:r w:rsidRPr="00730CC1">
        <w:rPr>
          <w:rFonts w:ascii="Cambria" w:hAnsi="Cambria" w:cs="EUAlbertina"/>
          <w:color w:val="000000"/>
          <w:sz w:val="22"/>
          <w:szCs w:val="22"/>
        </w:rPr>
        <w:t xml:space="preserve">nacionalinį kontekstą ir užtikrindamos Fondo paramos suderinamumą ir papildomumą su atitinkama ES politika ir prioritetais, per šešis mėnesius nuo Reglamento įsigaliojimo turi parengti Fondo veiksmų programas ir kartu su atlikto </w:t>
      </w:r>
      <w:proofErr w:type="spellStart"/>
      <w:r w:rsidRPr="00730CC1">
        <w:rPr>
          <w:rFonts w:ascii="Cambria" w:hAnsi="Cambria" w:cs="EUAlbertina"/>
          <w:i/>
          <w:color w:val="000000"/>
          <w:sz w:val="22"/>
          <w:szCs w:val="22"/>
        </w:rPr>
        <w:t>ex</w:t>
      </w:r>
      <w:proofErr w:type="spellEnd"/>
      <w:r w:rsidRPr="00730CC1">
        <w:rPr>
          <w:rFonts w:ascii="Cambria" w:hAnsi="Cambria" w:cs="EUAlbertina"/>
          <w:i/>
          <w:color w:val="000000"/>
          <w:sz w:val="22"/>
          <w:szCs w:val="22"/>
        </w:rPr>
        <w:t xml:space="preserve"> </w:t>
      </w:r>
      <w:proofErr w:type="spellStart"/>
      <w:r w:rsidRPr="00730CC1">
        <w:rPr>
          <w:rFonts w:ascii="Cambria" w:hAnsi="Cambria" w:cs="EUAlbertina"/>
          <w:i/>
          <w:color w:val="000000"/>
          <w:sz w:val="22"/>
          <w:szCs w:val="22"/>
        </w:rPr>
        <w:t>ante</w:t>
      </w:r>
      <w:proofErr w:type="spellEnd"/>
      <w:r w:rsidRPr="00730CC1">
        <w:rPr>
          <w:rFonts w:ascii="Cambria" w:hAnsi="Cambria" w:cs="EUAlbertina"/>
          <w:color w:val="000000"/>
          <w:sz w:val="22"/>
          <w:szCs w:val="22"/>
        </w:rPr>
        <w:t xml:space="preserve"> vertinimo rezultatais </w:t>
      </w:r>
      <w:r w:rsidR="00962400">
        <w:rPr>
          <w:rFonts w:ascii="Cambria" w:hAnsi="Cambria" w:cs="EUAlbertina"/>
          <w:color w:val="000000"/>
          <w:sz w:val="22"/>
          <w:szCs w:val="22"/>
        </w:rPr>
        <w:t xml:space="preserve">jas </w:t>
      </w:r>
      <w:r w:rsidRPr="00730CC1">
        <w:rPr>
          <w:rFonts w:ascii="Cambria" w:hAnsi="Cambria" w:cs="EUAlbertina"/>
          <w:color w:val="000000"/>
          <w:sz w:val="22"/>
          <w:szCs w:val="22"/>
        </w:rPr>
        <w:t xml:space="preserve">pateikti Europos Komisijai. Atsižvelgdama į išankstinį vertinimą, EK įvertina veiksmų programų atitiktį Reglamento nuostatoms ir Fondo tikslams, tad šis vertinimas tampa ypač svarbus Fondo paramos planavimo kontekste, siekiant gerinti </w:t>
      </w:r>
      <w:r w:rsidRPr="00730CC1">
        <w:rPr>
          <w:rFonts w:ascii="Cambria" w:hAnsi="Cambria" w:cs="Calibri"/>
          <w:sz w:val="22"/>
          <w:szCs w:val="22"/>
        </w:rPr>
        <w:t xml:space="preserve">programų kokybę ir struktūrą </w:t>
      </w:r>
      <w:r w:rsidR="00962400">
        <w:rPr>
          <w:rFonts w:ascii="Cambria" w:hAnsi="Cambria" w:cs="Calibri"/>
          <w:sz w:val="22"/>
          <w:szCs w:val="22"/>
        </w:rPr>
        <w:t>bei</w:t>
      </w:r>
      <w:r w:rsidRPr="00730CC1">
        <w:rPr>
          <w:rFonts w:ascii="Cambria" w:hAnsi="Cambria" w:cs="Calibri"/>
          <w:sz w:val="22"/>
          <w:szCs w:val="22"/>
        </w:rPr>
        <w:t xml:space="preserve"> patikrinti, ar nustatyti tikslai ir uždaviniai gali būti pasiekti. Kita vertus, Reglamente nustatoma, kad Fondo paramos vertinimai neturi būti itin sudėtingi, palyginti su skiriamais ištekliai</w:t>
      </w:r>
      <w:r w:rsidR="00962400">
        <w:rPr>
          <w:rFonts w:ascii="Cambria" w:hAnsi="Cambria" w:cs="Calibri"/>
          <w:sz w:val="22"/>
          <w:szCs w:val="22"/>
        </w:rPr>
        <w:t>s</w:t>
      </w:r>
      <w:r w:rsidRPr="00730CC1">
        <w:rPr>
          <w:rFonts w:ascii="Cambria" w:hAnsi="Cambria" w:cs="Calibri"/>
          <w:sz w:val="22"/>
          <w:szCs w:val="22"/>
        </w:rPr>
        <w:t xml:space="preserve"> ir paramos pobūdžiu, ir jais neturi būti</w:t>
      </w:r>
      <w:r w:rsidR="00C234B2">
        <w:rPr>
          <w:rFonts w:ascii="Cambria" w:hAnsi="Cambria" w:cs="Calibri"/>
          <w:sz w:val="22"/>
          <w:szCs w:val="22"/>
        </w:rPr>
        <w:t xml:space="preserve"> sukuriama</w:t>
      </w:r>
      <w:r w:rsidR="005D34E8">
        <w:rPr>
          <w:rFonts w:ascii="Cambria" w:hAnsi="Cambria" w:cs="Calibri"/>
          <w:sz w:val="22"/>
          <w:szCs w:val="22"/>
        </w:rPr>
        <w:t xml:space="preserve"> </w:t>
      </w:r>
      <w:r w:rsidRPr="00730CC1">
        <w:rPr>
          <w:rFonts w:ascii="Cambria" w:hAnsi="Cambria" w:cs="Calibri"/>
          <w:sz w:val="22"/>
          <w:szCs w:val="22"/>
        </w:rPr>
        <w:t>nereikalingos administracinės naštos.</w:t>
      </w:r>
    </w:p>
    <w:p w14:paraId="66E796B5" w14:textId="7CA20BF1" w:rsidR="00767E0C" w:rsidRPr="00730CC1" w:rsidRDefault="00767E0C" w:rsidP="00596FDB">
      <w:pPr>
        <w:autoSpaceDE w:val="0"/>
        <w:autoSpaceDN w:val="0"/>
        <w:adjustRightInd w:val="0"/>
        <w:jc w:val="both"/>
        <w:rPr>
          <w:rFonts w:cs="Calibri"/>
          <w:sz w:val="22"/>
        </w:rPr>
      </w:pPr>
      <w:r w:rsidRPr="00730CC1">
        <w:rPr>
          <w:noProof/>
          <w:sz w:val="22"/>
        </w:rPr>
        <mc:AlternateContent>
          <mc:Choice Requires="wps">
            <w:drawing>
              <wp:inline distT="0" distB="0" distL="0" distR="0" wp14:anchorId="3530B25B" wp14:editId="5640524C">
                <wp:extent cx="6372225" cy="626110"/>
                <wp:effectExtent l="57150" t="38100" r="85725" b="9779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626110"/>
                        </a:xfrm>
                        <a:prstGeom prst="rect">
                          <a:avLst/>
                        </a:prstGeom>
                        <a:solidFill>
                          <a:srgbClr val="F6E2A3"/>
                        </a:solidFill>
                        <a:ln>
                          <a:headEnd/>
                          <a:tailEnd/>
                        </a:ln>
                      </wps:spPr>
                      <wps:style>
                        <a:lnRef idx="1">
                          <a:schemeClr val="accent1"/>
                        </a:lnRef>
                        <a:fillRef idx="2">
                          <a:schemeClr val="accent1"/>
                        </a:fillRef>
                        <a:effectRef idx="1">
                          <a:schemeClr val="accent1"/>
                        </a:effectRef>
                        <a:fontRef idx="minor">
                          <a:schemeClr val="dk1"/>
                        </a:fontRef>
                      </wps:style>
                      <wps:txbx>
                        <w:txbxContent>
                          <w:p w14:paraId="579C7059" w14:textId="746A1570" w:rsidR="00066407" w:rsidRPr="00404525" w:rsidRDefault="00066407" w:rsidP="00AC59B7">
                            <w:pPr>
                              <w:ind w:left="57"/>
                              <w:jc w:val="both"/>
                              <w:rPr>
                                <w:sz w:val="22"/>
                              </w:rPr>
                            </w:pPr>
                            <w:r w:rsidRPr="00404525">
                              <w:rPr>
                                <w:sz w:val="22"/>
                              </w:rPr>
                              <w:t>Pagrindinis išankstinio vertinimo tikslas – pagerinti Europos pagalbos labiausiai skurstantiems asmenims veiklos planavimo ir įgyvendinimo kokybę Lietuvoje 2014</w:t>
                            </w:r>
                            <w:r>
                              <w:rPr>
                                <w:sz w:val="22"/>
                              </w:rPr>
                              <w:t>–</w:t>
                            </w:r>
                            <w:r w:rsidRPr="00404525">
                              <w:rPr>
                                <w:sz w:val="22"/>
                              </w:rPr>
                              <w:t>2020 m. laikotarpiu.</w:t>
                            </w:r>
                          </w:p>
                          <w:p w14:paraId="278EF4A1" w14:textId="77777777" w:rsidR="00066407" w:rsidRPr="003B6C6A" w:rsidRDefault="00066407" w:rsidP="00AC59B7">
                            <w:pPr>
                              <w:ind w:left="57"/>
                              <w:jc w:val="both"/>
                              <w:rPr>
                                <w:b/>
                                <w:color w:val="FFFFFF"/>
                                <w:sz w:val="20"/>
                                <w:szCs w:val="20"/>
                              </w:rPr>
                            </w:pPr>
                          </w:p>
                          <w:p w14:paraId="324B865A" w14:textId="77777777" w:rsidR="00066407" w:rsidRPr="003B6C6A" w:rsidRDefault="00066407" w:rsidP="00AC59B7">
                            <w:pPr>
                              <w:ind w:left="57"/>
                              <w:jc w:val="both"/>
                              <w:rPr>
                                <w:b/>
                                <w:color w:val="FFFFFF"/>
                                <w:sz w:val="20"/>
                                <w:szCs w:val="20"/>
                              </w:rPr>
                            </w:pPr>
                          </w:p>
                          <w:p w14:paraId="166DF793" w14:textId="77777777" w:rsidR="00066407" w:rsidRPr="003B6C6A" w:rsidRDefault="00066407" w:rsidP="00AC59B7">
                            <w:pPr>
                              <w:ind w:left="57"/>
                              <w:jc w:val="both"/>
                              <w:rPr>
                                <w:b/>
                                <w:color w:val="FFFFFF"/>
                                <w:sz w:val="20"/>
                                <w:szCs w:val="20"/>
                              </w:rPr>
                            </w:pPr>
                          </w:p>
                        </w:txbxContent>
                      </wps:txbx>
                      <wps:bodyPr rot="0" vert="horz" wrap="square" lIns="108000" tIns="108000" rIns="108000" bIns="108000" anchor="t" anchorCtr="0" upright="1">
                        <a:noAutofit/>
                      </wps:bodyPr>
                    </wps:wsp>
                  </a:graphicData>
                </a:graphic>
              </wp:inline>
            </w:drawing>
          </mc:Choice>
          <mc:Fallback>
            <w:pict>
              <v:shape id="Text Box 3" o:spid="_x0000_s1031" type="#_x0000_t202" style="width:501.7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lMXQIAAAoFAAAOAAAAZHJzL2Uyb0RvYy54bWysVFtv0zAUfkfiP1h+Z0lTrUxR06nsgpAG&#10;Q2z8ANexG2uOj7HdJuXXc+yk2QpoD4gXy5fzfed85+LlZd9qshfOKzAVnZ3llAjDoVZmW9Hvj7fv&#10;LijxgZmaaTCiogfh6eXq7ZtlZ0tRQAO6Fo4gifFlZyvahGDLLPO8ES3zZ2CFwUcJrmUBj26b1Y51&#10;yN7qrMjzRdaBq60DLrzH2+vhka4Sv5SCh3spvQhEVxRjC2l1ad3ENVstWbl1zDaKj2Gwf4iiZcqg&#10;04nqmgVGdk79QdUq7sCDDGcc2gykVFwkDahmlv+m5qFhViQtmBxvpzT5/0fLv+y/OqLqis4pMazF&#10;Ej2KPpAP0JN5zE5nfYlGDxbNQo/XWOWk1Ns74E+eGLhqmNmKtXPQNYLVGN0sIrMX0IHHR5JN9xlq&#10;dMN2ARJRL10bU4fJIMiOVTpMlYmhcLxczN8XRXFOCce3RbGYzVLpMlYe0db58FFAS+Kmog4rn9jZ&#10;/s6HGA0rjybRmQet6luldTq47eZKO7Jn2CW3i5tinaQj5MRMm2gcJd6YOjVOYEoPe7SNz0lzlDkK&#10;DgctIkibb0Jimp+zFxtcTE4Z58KEIW2jdYRJDHACFkPaXwOO9hEqUvNP4LFmr4EnRPIMJkzgVhlw&#10;f/NePx1DloP9MQOD7tgAod/0qb/Oj920gfqAfeBgGEb8PHDTgPtJSYeDWFH/Y8ecoER/MrGX8os8&#10;j6N7cnInp83JiRmOdBUNlAzbqzBM/M46tW3Q25ANA2vsQalSe8RYh8hGDThwqWvGzyFO9Mtzsnr+&#10;wla/AAAA//8DAFBLAwQUAAYACAAAACEAoRR2v94AAAAFAQAADwAAAGRycy9kb3ducmV2LnhtbEyP&#10;QUsDMRCF74L/IYzgRWyiYt2umy0iFLT1oK2Ix3Qz7gaTyZKk2/XfN/Wil4HHe7z3TTUfnWUDhmg8&#10;SbiaCGBIjdeGWgnvm8VlASwmRVpZTyjhByPM69OTSpXa7+kNh3VqWS6hWCoJXUp9yXlsOnQqTnyP&#10;lL0vH5xKWYaW66D2udxZfi3ElDtlKC90qsfHDpvv9c5J+DDPn4vV8LqcPS1tsXm5uDP9Kkh5fjY+&#10;3ANLOKa/MBzxMzrUmWnrd6QjsxLyI+n3Hj0hbm6BbSXMiinwuuL/6esDAAAA//8DAFBLAQItABQA&#10;BgAIAAAAIQC2gziS/gAAAOEBAAATAAAAAAAAAAAAAAAAAAAAAABbQ29udGVudF9UeXBlc10ueG1s&#10;UEsBAi0AFAAGAAgAAAAhADj9If/WAAAAlAEAAAsAAAAAAAAAAAAAAAAALwEAAF9yZWxzLy5yZWxz&#10;UEsBAi0AFAAGAAgAAAAhABmIiUxdAgAACgUAAA4AAAAAAAAAAAAAAAAALgIAAGRycy9lMm9Eb2Mu&#10;eG1sUEsBAi0AFAAGAAgAAAAhAKEUdr/eAAAABQEAAA8AAAAAAAAAAAAAAAAAtwQAAGRycy9kb3du&#10;cmV2LnhtbFBLBQYAAAAABAAEAPMAAADCBQAAAAA=&#10;" fillcolor="#f6e2a3" strokecolor="#fcc771 [3044]">
                <v:shadow on="t" color="black" opacity="24903f" origin=",.5" offset="0,.55556mm"/>
                <v:textbox inset="3mm,3mm,3mm,3mm">
                  <w:txbxContent>
                    <w:p w14:paraId="579C7059" w14:textId="746A1570" w:rsidR="00066407" w:rsidRPr="00404525" w:rsidRDefault="00066407" w:rsidP="00AC59B7">
                      <w:pPr>
                        <w:ind w:left="57"/>
                        <w:jc w:val="both"/>
                        <w:rPr>
                          <w:sz w:val="22"/>
                        </w:rPr>
                      </w:pPr>
                      <w:r w:rsidRPr="00404525">
                        <w:rPr>
                          <w:sz w:val="22"/>
                        </w:rPr>
                        <w:t>Pagrindinis išankstinio vertinimo tikslas – pagerinti Europos pagalbos labiausiai skurstantiems asmenims veiklos planavimo ir įgyvendinimo kokybę Lietuvoje 2014</w:t>
                      </w:r>
                      <w:r>
                        <w:rPr>
                          <w:sz w:val="22"/>
                        </w:rPr>
                        <w:t>–</w:t>
                      </w:r>
                      <w:r w:rsidRPr="00404525">
                        <w:rPr>
                          <w:sz w:val="22"/>
                        </w:rPr>
                        <w:t>2020 m. laikotarpiu.</w:t>
                      </w:r>
                    </w:p>
                    <w:p w14:paraId="278EF4A1" w14:textId="77777777" w:rsidR="00066407" w:rsidRPr="003B6C6A" w:rsidRDefault="00066407" w:rsidP="00AC59B7">
                      <w:pPr>
                        <w:ind w:left="57"/>
                        <w:jc w:val="both"/>
                        <w:rPr>
                          <w:b/>
                          <w:color w:val="FFFFFF"/>
                          <w:sz w:val="20"/>
                          <w:szCs w:val="20"/>
                        </w:rPr>
                      </w:pPr>
                    </w:p>
                    <w:p w14:paraId="324B865A" w14:textId="77777777" w:rsidR="00066407" w:rsidRPr="003B6C6A" w:rsidRDefault="00066407" w:rsidP="00AC59B7">
                      <w:pPr>
                        <w:ind w:left="57"/>
                        <w:jc w:val="both"/>
                        <w:rPr>
                          <w:b/>
                          <w:color w:val="FFFFFF"/>
                          <w:sz w:val="20"/>
                          <w:szCs w:val="20"/>
                        </w:rPr>
                      </w:pPr>
                    </w:p>
                    <w:p w14:paraId="166DF793" w14:textId="77777777" w:rsidR="00066407" w:rsidRPr="003B6C6A" w:rsidRDefault="00066407" w:rsidP="00AC59B7">
                      <w:pPr>
                        <w:ind w:left="57"/>
                        <w:jc w:val="both"/>
                        <w:rPr>
                          <w:b/>
                          <w:color w:val="FFFFFF"/>
                          <w:sz w:val="20"/>
                          <w:szCs w:val="20"/>
                        </w:rPr>
                      </w:pPr>
                    </w:p>
                  </w:txbxContent>
                </v:textbox>
                <w10:anchorlock/>
              </v:shape>
            </w:pict>
          </mc:Fallback>
        </mc:AlternateContent>
      </w:r>
      <w:r w:rsidR="00AC59B7">
        <w:rPr>
          <w:rFonts w:cs="Calibri"/>
          <w:sz w:val="22"/>
        </w:rPr>
        <w:t xml:space="preserve">     </w:t>
      </w:r>
    </w:p>
    <w:p w14:paraId="5EDC9E1A" w14:textId="5D1108DB" w:rsidR="00596FDB" w:rsidRPr="00730CC1" w:rsidRDefault="00596FDB" w:rsidP="00440F15">
      <w:pPr>
        <w:autoSpaceDE w:val="0"/>
        <w:autoSpaceDN w:val="0"/>
        <w:adjustRightInd w:val="0"/>
        <w:ind w:left="363"/>
        <w:jc w:val="both"/>
        <w:rPr>
          <w:rFonts w:cs="Calibri"/>
          <w:sz w:val="22"/>
        </w:rPr>
      </w:pPr>
      <w:r w:rsidRPr="00730CC1">
        <w:rPr>
          <w:rFonts w:cs="Calibri"/>
          <w:sz w:val="22"/>
        </w:rPr>
        <w:t xml:space="preserve">Už </w:t>
      </w:r>
      <w:proofErr w:type="spellStart"/>
      <w:r w:rsidRPr="00730CC1">
        <w:rPr>
          <w:rFonts w:cs="Calibri"/>
          <w:i/>
          <w:sz w:val="22"/>
        </w:rPr>
        <w:t>ex</w:t>
      </w:r>
      <w:proofErr w:type="spellEnd"/>
      <w:r w:rsidRPr="00730CC1">
        <w:rPr>
          <w:rFonts w:cs="Calibri"/>
          <w:i/>
          <w:sz w:val="22"/>
        </w:rPr>
        <w:t xml:space="preserve"> </w:t>
      </w:r>
      <w:proofErr w:type="spellStart"/>
      <w:r w:rsidRPr="00730CC1">
        <w:rPr>
          <w:rFonts w:cs="Calibri"/>
          <w:i/>
          <w:sz w:val="22"/>
        </w:rPr>
        <w:t>ante</w:t>
      </w:r>
      <w:proofErr w:type="spellEnd"/>
      <w:r w:rsidRPr="00730CC1">
        <w:rPr>
          <w:rFonts w:cs="Calibri"/>
          <w:sz w:val="22"/>
        </w:rPr>
        <w:t xml:space="preserve"> vertinimų atlikimą valstybėse narėse atsako institucijos, atsakingos už veiksmų programų parengimą – Lietuvos atveju tai būtų Lietuvos Respublikos (toliau – LR) socialinės apsaugos ir darbo ministerija</w:t>
      </w:r>
      <w:r w:rsidRPr="00730CC1">
        <w:rPr>
          <w:rStyle w:val="FootnoteReference"/>
          <w:rFonts w:cs="Calibri"/>
          <w:sz w:val="22"/>
        </w:rPr>
        <w:footnoteReference w:id="3"/>
      </w:r>
      <w:r w:rsidRPr="00730CC1">
        <w:rPr>
          <w:rFonts w:cs="Calibri"/>
          <w:sz w:val="22"/>
        </w:rPr>
        <w:t>. Atsižvelgiant į tai, kad 2014</w:t>
      </w:r>
      <w:r w:rsidR="00547417">
        <w:rPr>
          <w:rFonts w:cs="Calibri"/>
          <w:sz w:val="22"/>
        </w:rPr>
        <w:t>–</w:t>
      </w:r>
      <w:r w:rsidRPr="00730CC1">
        <w:rPr>
          <w:rFonts w:cs="Calibri"/>
          <w:sz w:val="22"/>
        </w:rPr>
        <w:t>2020 m. laikotarpiu Lietuvoje planuojama rengti vadinamojo VP I tipo veiksmų programą</w:t>
      </w:r>
      <w:r w:rsidRPr="00730CC1">
        <w:rPr>
          <w:rStyle w:val="FootnoteReference"/>
          <w:rFonts w:cs="Calibri"/>
          <w:sz w:val="22"/>
        </w:rPr>
        <w:footnoteReference w:id="4"/>
      </w:r>
      <w:r w:rsidRPr="00730CC1">
        <w:rPr>
          <w:rFonts w:cs="Calibri"/>
          <w:sz w:val="22"/>
        </w:rPr>
        <w:t xml:space="preserve">, išankstinio vertinimo metu </w:t>
      </w:r>
      <w:r w:rsidR="00A074BA" w:rsidRPr="00730CC1">
        <w:rPr>
          <w:rFonts w:cs="Calibri"/>
          <w:sz w:val="22"/>
        </w:rPr>
        <w:t>buvo vertinami šie aspektai</w:t>
      </w:r>
      <w:r w:rsidRPr="00730CC1">
        <w:rPr>
          <w:rFonts w:cs="Calibri"/>
          <w:sz w:val="22"/>
        </w:rPr>
        <w:t>:</w:t>
      </w:r>
    </w:p>
    <w:p w14:paraId="50AA2476" w14:textId="77777777" w:rsidR="00596FDB" w:rsidRPr="00730CC1" w:rsidRDefault="00596FDB" w:rsidP="00596FDB">
      <w:pPr>
        <w:pStyle w:val="CM4"/>
        <w:numPr>
          <w:ilvl w:val="0"/>
          <w:numId w:val="17"/>
        </w:numPr>
        <w:spacing w:before="60" w:after="60" w:line="276" w:lineRule="auto"/>
        <w:jc w:val="both"/>
        <w:rPr>
          <w:rFonts w:ascii="Cambria" w:hAnsi="Cambria" w:cs="EUAlbertina"/>
          <w:color w:val="000000"/>
          <w:sz w:val="22"/>
          <w:szCs w:val="22"/>
          <w:lang w:val="lt-LT"/>
        </w:rPr>
      </w:pPr>
      <w:r w:rsidRPr="00730CC1">
        <w:rPr>
          <w:rFonts w:ascii="Cambria" w:hAnsi="Cambria" w:cs="EUAlbertina"/>
          <w:color w:val="000000"/>
          <w:sz w:val="22"/>
          <w:szCs w:val="22"/>
          <w:lang w:val="lt-LT"/>
        </w:rPr>
        <w:t xml:space="preserve">indėlis siekiant Sąjungos tikslo iki 2020 m. žmonių, kurie gyvena skurde arba kuriems gresia skurdas ir socialinė atskirtis, skaičių sumažinti bent 20 mln., atsižvelgiant į materialinio nepritekliaus problemą, kurią pasirinkta spręsti, ir nacionalines aplinkybes, susijusias su skurdu, socialine atskirtimi ir materialiniu nepritekliumi; </w:t>
      </w:r>
    </w:p>
    <w:p w14:paraId="2A45949E" w14:textId="77777777" w:rsidR="00596FDB" w:rsidRPr="00730CC1" w:rsidRDefault="00596FDB" w:rsidP="00596FDB">
      <w:pPr>
        <w:pStyle w:val="CM4"/>
        <w:numPr>
          <w:ilvl w:val="0"/>
          <w:numId w:val="17"/>
        </w:numPr>
        <w:spacing w:before="60" w:after="60" w:line="276" w:lineRule="auto"/>
        <w:jc w:val="both"/>
        <w:rPr>
          <w:rFonts w:ascii="Cambria" w:hAnsi="Cambria" w:cs="EUAlbertina"/>
          <w:color w:val="000000"/>
          <w:sz w:val="22"/>
          <w:szCs w:val="22"/>
          <w:lang w:val="lt-LT"/>
        </w:rPr>
      </w:pPr>
      <w:r w:rsidRPr="00730CC1">
        <w:rPr>
          <w:rFonts w:ascii="Cambria" w:hAnsi="Cambria" w:cs="EUAlbertina"/>
          <w:color w:val="000000"/>
          <w:sz w:val="22"/>
          <w:szCs w:val="22"/>
          <w:lang w:val="lt-LT"/>
        </w:rPr>
        <w:lastRenderedPageBreak/>
        <w:t xml:space="preserve">siūlomos veiksmų programos vidaus nuoseklumas ir jos ryšys su kitomis susijusiomis finansinėmis priemonėmis; </w:t>
      </w:r>
    </w:p>
    <w:p w14:paraId="4A632B65" w14:textId="77777777" w:rsidR="00596FDB" w:rsidRPr="00730CC1" w:rsidRDefault="00596FDB" w:rsidP="00596FDB">
      <w:pPr>
        <w:pStyle w:val="CM4"/>
        <w:numPr>
          <w:ilvl w:val="0"/>
          <w:numId w:val="17"/>
        </w:numPr>
        <w:spacing w:before="60" w:after="60" w:line="276" w:lineRule="auto"/>
        <w:jc w:val="both"/>
        <w:rPr>
          <w:rFonts w:ascii="Cambria" w:hAnsi="Cambria" w:cs="EUAlbertina"/>
          <w:color w:val="000000"/>
          <w:sz w:val="22"/>
          <w:szCs w:val="22"/>
          <w:lang w:val="lt-LT"/>
        </w:rPr>
      </w:pPr>
      <w:r w:rsidRPr="00730CC1">
        <w:rPr>
          <w:rFonts w:ascii="Cambria" w:hAnsi="Cambria" w:cs="EUAlbertina"/>
          <w:color w:val="000000"/>
          <w:sz w:val="22"/>
          <w:szCs w:val="22"/>
          <w:lang w:val="lt-LT"/>
        </w:rPr>
        <w:t xml:space="preserve">paskirtų biudžeto išteklių derėjimas su veiksmų programos tikslais; </w:t>
      </w:r>
    </w:p>
    <w:p w14:paraId="59848BCB" w14:textId="77777777" w:rsidR="00596FDB" w:rsidRPr="00730CC1" w:rsidRDefault="00596FDB" w:rsidP="00596FDB">
      <w:pPr>
        <w:pStyle w:val="CM4"/>
        <w:numPr>
          <w:ilvl w:val="0"/>
          <w:numId w:val="17"/>
        </w:numPr>
        <w:spacing w:before="60" w:after="60" w:line="276" w:lineRule="auto"/>
        <w:jc w:val="both"/>
        <w:rPr>
          <w:rFonts w:ascii="Cambria" w:hAnsi="Cambria" w:cs="EUAlbertina"/>
          <w:color w:val="000000"/>
          <w:sz w:val="22"/>
          <w:szCs w:val="22"/>
          <w:lang w:val="lt-LT"/>
        </w:rPr>
      </w:pPr>
      <w:r w:rsidRPr="00730CC1">
        <w:rPr>
          <w:rFonts w:ascii="Cambria" w:hAnsi="Cambria" w:cs="EUAlbertina"/>
          <w:color w:val="000000"/>
          <w:sz w:val="22"/>
          <w:szCs w:val="22"/>
          <w:lang w:val="lt-LT"/>
        </w:rPr>
        <w:t xml:space="preserve">nustatytų produkto rodiklių indėlis siekiant rezultatų, taigi ir Fondo tikslų; </w:t>
      </w:r>
    </w:p>
    <w:p w14:paraId="4CF3DD3C" w14:textId="77777777" w:rsidR="00596FDB" w:rsidRPr="00730CC1" w:rsidRDefault="00596FDB" w:rsidP="00596FDB">
      <w:pPr>
        <w:pStyle w:val="CM4"/>
        <w:numPr>
          <w:ilvl w:val="0"/>
          <w:numId w:val="17"/>
        </w:numPr>
        <w:spacing w:before="60" w:after="60" w:line="276" w:lineRule="auto"/>
        <w:jc w:val="both"/>
        <w:rPr>
          <w:rFonts w:ascii="Cambria" w:hAnsi="Cambria" w:cs="EUAlbertina"/>
          <w:color w:val="000000"/>
          <w:sz w:val="22"/>
          <w:szCs w:val="22"/>
          <w:lang w:val="lt-LT"/>
        </w:rPr>
      </w:pPr>
      <w:r w:rsidRPr="00730CC1">
        <w:rPr>
          <w:rFonts w:ascii="Cambria" w:hAnsi="Cambria" w:cs="EUAlbertina"/>
          <w:color w:val="000000"/>
          <w:sz w:val="22"/>
          <w:szCs w:val="22"/>
          <w:lang w:val="lt-LT"/>
        </w:rPr>
        <w:t xml:space="preserve">visų suinteresuotųjų šalių dalyvavimas; </w:t>
      </w:r>
    </w:p>
    <w:p w14:paraId="427B359E" w14:textId="77777777" w:rsidR="00596FDB" w:rsidRPr="00730CC1" w:rsidRDefault="00596FDB" w:rsidP="00596FDB">
      <w:pPr>
        <w:numPr>
          <w:ilvl w:val="0"/>
          <w:numId w:val="17"/>
        </w:numPr>
        <w:autoSpaceDE w:val="0"/>
        <w:autoSpaceDN w:val="0"/>
        <w:adjustRightInd w:val="0"/>
        <w:spacing w:after="120"/>
        <w:ind w:right="74"/>
        <w:jc w:val="both"/>
        <w:rPr>
          <w:rFonts w:cs="Calibri"/>
          <w:sz w:val="22"/>
        </w:rPr>
      </w:pPr>
      <w:r w:rsidRPr="00730CC1">
        <w:rPr>
          <w:rFonts w:cs="EUAlbertina"/>
          <w:color w:val="000000"/>
          <w:sz w:val="22"/>
        </w:rPr>
        <w:t>veiksmų programos stebėsenos ir duomenų, reikalingų vertinimui, rinkimo tvarkos tinkamumas</w:t>
      </w:r>
      <w:r w:rsidRPr="00730CC1">
        <w:rPr>
          <w:rStyle w:val="FootnoteReference"/>
          <w:rFonts w:cs="EUAlbertina"/>
          <w:color w:val="000000"/>
          <w:sz w:val="22"/>
        </w:rPr>
        <w:footnoteReference w:id="5"/>
      </w:r>
      <w:r w:rsidRPr="00730CC1">
        <w:rPr>
          <w:rFonts w:cs="EUAlbertina"/>
          <w:color w:val="000000"/>
          <w:sz w:val="22"/>
        </w:rPr>
        <w:t>.</w:t>
      </w:r>
    </w:p>
    <w:p w14:paraId="0BC4BAAE" w14:textId="161D9697" w:rsidR="00596FDB" w:rsidRPr="00730CC1" w:rsidRDefault="00596FDB" w:rsidP="00440F15">
      <w:pPr>
        <w:autoSpaceDE w:val="0"/>
        <w:autoSpaceDN w:val="0"/>
        <w:adjustRightInd w:val="0"/>
        <w:ind w:left="363"/>
        <w:jc w:val="both"/>
        <w:rPr>
          <w:rFonts w:cs="Calibri"/>
          <w:sz w:val="22"/>
        </w:rPr>
      </w:pPr>
      <w:r w:rsidRPr="00730CC1">
        <w:rPr>
          <w:rFonts w:cs="Calibri"/>
          <w:sz w:val="22"/>
        </w:rPr>
        <w:t xml:space="preserve">Svarbu yra tai, kad Fondo veiksmų programos </w:t>
      </w:r>
      <w:proofErr w:type="spellStart"/>
      <w:r w:rsidRPr="00730CC1">
        <w:rPr>
          <w:rFonts w:cs="Calibri"/>
          <w:i/>
          <w:sz w:val="22"/>
        </w:rPr>
        <w:t>ex</w:t>
      </w:r>
      <w:proofErr w:type="spellEnd"/>
      <w:r w:rsidRPr="00730CC1">
        <w:rPr>
          <w:rFonts w:cs="Calibri"/>
          <w:i/>
          <w:sz w:val="22"/>
        </w:rPr>
        <w:t xml:space="preserve"> </w:t>
      </w:r>
      <w:proofErr w:type="spellStart"/>
      <w:r w:rsidRPr="00730CC1">
        <w:rPr>
          <w:rFonts w:cs="Calibri"/>
          <w:i/>
          <w:sz w:val="22"/>
        </w:rPr>
        <w:t>ante</w:t>
      </w:r>
      <w:proofErr w:type="spellEnd"/>
      <w:r w:rsidRPr="00730CC1">
        <w:rPr>
          <w:rFonts w:cs="Calibri"/>
          <w:sz w:val="22"/>
        </w:rPr>
        <w:t xml:space="preserve"> vertinime be kitų aspektų tur</w:t>
      </w:r>
      <w:r w:rsidR="00767E0C" w:rsidRPr="00730CC1">
        <w:rPr>
          <w:rFonts w:cs="Calibri"/>
          <w:sz w:val="22"/>
        </w:rPr>
        <w:t>i</w:t>
      </w:r>
      <w:r w:rsidRPr="00730CC1">
        <w:rPr>
          <w:rFonts w:cs="Calibri"/>
          <w:sz w:val="22"/>
        </w:rPr>
        <w:t xml:space="preserve"> būti paaiškinta intervencijų logika arba pokyčių teorija: kaip konkretūs veiksmai prisidės prie iškeltų  tikslų  ir rezultatų pasiekimo </w:t>
      </w:r>
      <w:r w:rsidR="006B68BE">
        <w:rPr>
          <w:rFonts w:cs="Calibri"/>
          <w:sz w:val="22"/>
        </w:rPr>
        <w:t>bei</w:t>
      </w:r>
      <w:r w:rsidRPr="00730CC1">
        <w:rPr>
          <w:rFonts w:cs="Calibri"/>
          <w:sz w:val="22"/>
        </w:rPr>
        <w:t xml:space="preserve"> efektyvaus Fondo lėšų panaudojimo. Taip pat didelis dėmesys skiriamas stebėsenos rodikliams bei stebėsenos ir vertinimo sistemų veikimui. </w:t>
      </w:r>
      <w:r w:rsidR="006C1FA9" w:rsidRPr="00730CC1">
        <w:rPr>
          <w:rFonts w:cs="Calibri"/>
          <w:sz w:val="22"/>
        </w:rPr>
        <w:t>Šioje ataskaitoje išankstinio vertinimo rezultatai yra pateikiami pagal Reglamente nustatytus reikalavimus VP I tipo veiksmų programoms ir Techninėje specifikacijoje pateiktus vertinimo klausimus. Taip pat yra suformuluotos rekomendacijos ir pasiūlymai dėl veiksmų programos, jos administravimo sistemos bei institucijų ir pareiškėjų administracinių gebėjimų.</w:t>
      </w:r>
    </w:p>
    <w:p w14:paraId="11EFE7B0" w14:textId="77777777" w:rsidR="006C1FA9" w:rsidRPr="00730CC1" w:rsidRDefault="006C1FA9" w:rsidP="00596FDB">
      <w:pPr>
        <w:autoSpaceDE w:val="0"/>
        <w:autoSpaceDN w:val="0"/>
        <w:adjustRightInd w:val="0"/>
        <w:jc w:val="both"/>
        <w:rPr>
          <w:rFonts w:cs="Calibri"/>
          <w:sz w:val="22"/>
        </w:rPr>
      </w:pPr>
    </w:p>
    <w:p w14:paraId="370139CA" w14:textId="14EB16EB" w:rsidR="00794F1C" w:rsidRPr="00730CC1" w:rsidRDefault="006D6B40" w:rsidP="00440F15">
      <w:pPr>
        <w:pStyle w:val="Caption"/>
        <w:ind w:left="363"/>
      </w:pPr>
      <w:r>
        <w:fldChar w:fldCharType="begin"/>
      </w:r>
      <w:r>
        <w:instrText xml:space="preserve"> SEQ Table \* ARABIC </w:instrText>
      </w:r>
      <w:r>
        <w:fldChar w:fldCharType="separate"/>
      </w:r>
      <w:r w:rsidR="002178EE">
        <w:rPr>
          <w:noProof/>
        </w:rPr>
        <w:t>1</w:t>
      </w:r>
      <w:r>
        <w:rPr>
          <w:noProof/>
        </w:rPr>
        <w:fldChar w:fldCharType="end"/>
      </w:r>
      <w:r w:rsidR="00794F1C" w:rsidRPr="00730CC1">
        <w:t xml:space="preserve"> lentelė. Išankstinio vertinimo ataskaitos žemėlapis</w:t>
      </w:r>
    </w:p>
    <w:tbl>
      <w:tblPr>
        <w:tblStyle w:val="VPVILentele1"/>
        <w:tblW w:w="0" w:type="auto"/>
        <w:tblInd w:w="534" w:type="dxa"/>
        <w:tblLook w:val="04A0" w:firstRow="1" w:lastRow="0" w:firstColumn="1" w:lastColumn="0" w:noHBand="0" w:noVBand="1"/>
      </w:tblPr>
      <w:tblGrid>
        <w:gridCol w:w="2126"/>
        <w:gridCol w:w="2977"/>
        <w:gridCol w:w="4665"/>
      </w:tblGrid>
      <w:tr w:rsidR="00794F1C" w:rsidRPr="00730CC1" w14:paraId="63B55989" w14:textId="77777777" w:rsidTr="00440F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6" w:type="dxa"/>
          </w:tcPr>
          <w:p w14:paraId="6EBB6468" w14:textId="77777777" w:rsidR="00794F1C" w:rsidRPr="00730CC1" w:rsidRDefault="00794F1C" w:rsidP="00F43244">
            <w:pPr>
              <w:jc w:val="center"/>
              <w:rPr>
                <w:rFonts w:asciiTheme="majorHAnsi" w:hAnsiTheme="majorHAnsi"/>
                <w:b w:val="0"/>
                <w:sz w:val="20"/>
                <w:szCs w:val="20"/>
              </w:rPr>
            </w:pPr>
            <w:r w:rsidRPr="00730CC1">
              <w:rPr>
                <w:rFonts w:asciiTheme="majorHAnsi" w:hAnsiTheme="majorHAnsi"/>
                <w:sz w:val="20"/>
                <w:szCs w:val="20"/>
              </w:rPr>
              <w:t>Ataskaitos skyrius</w:t>
            </w:r>
          </w:p>
        </w:tc>
        <w:tc>
          <w:tcPr>
            <w:tcW w:w="2977" w:type="dxa"/>
          </w:tcPr>
          <w:p w14:paraId="2607DDB2" w14:textId="77777777" w:rsidR="00794F1C" w:rsidRPr="00730CC1" w:rsidRDefault="00794F1C" w:rsidP="00F43244">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szCs w:val="20"/>
              </w:rPr>
            </w:pPr>
            <w:r w:rsidRPr="00730CC1">
              <w:rPr>
                <w:rFonts w:asciiTheme="majorHAnsi" w:hAnsiTheme="majorHAnsi"/>
                <w:sz w:val="20"/>
                <w:szCs w:val="20"/>
              </w:rPr>
              <w:t>Reglamento Nr. 223/2014 reikalavimai</w:t>
            </w:r>
          </w:p>
        </w:tc>
        <w:tc>
          <w:tcPr>
            <w:tcW w:w="4665" w:type="dxa"/>
          </w:tcPr>
          <w:p w14:paraId="16D0CF82" w14:textId="77777777" w:rsidR="00794F1C" w:rsidRPr="00730CC1" w:rsidRDefault="00794F1C" w:rsidP="006032D0">
            <w:pP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szCs w:val="20"/>
              </w:rPr>
            </w:pPr>
            <w:r w:rsidRPr="00730CC1">
              <w:rPr>
                <w:rFonts w:asciiTheme="majorHAnsi" w:hAnsiTheme="majorHAnsi"/>
                <w:sz w:val="20"/>
                <w:szCs w:val="20"/>
              </w:rPr>
              <w:t>Vertinimo klausimas</w:t>
            </w:r>
          </w:p>
        </w:tc>
      </w:tr>
      <w:tr w:rsidR="00794F1C" w:rsidRPr="00730CC1" w14:paraId="3C976CC2" w14:textId="77777777" w:rsidTr="00440F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3F38B629" w14:textId="77777777" w:rsidR="00794F1C" w:rsidRPr="00730CC1" w:rsidRDefault="00794F1C" w:rsidP="00F43244">
            <w:pPr>
              <w:rPr>
                <w:rFonts w:asciiTheme="majorHAnsi" w:hAnsiTheme="majorHAnsi"/>
                <w:sz w:val="20"/>
                <w:szCs w:val="20"/>
              </w:rPr>
            </w:pPr>
            <w:r w:rsidRPr="00730CC1">
              <w:rPr>
                <w:rFonts w:asciiTheme="majorHAnsi" w:hAnsiTheme="majorHAnsi"/>
                <w:sz w:val="20"/>
                <w:szCs w:val="20"/>
              </w:rPr>
              <w:t>1. VEIKSMŲ RPOGRAMOS INTERVENCIJŲ LOGIKOS ĮVERTINIMAS</w:t>
            </w:r>
          </w:p>
        </w:tc>
        <w:tc>
          <w:tcPr>
            <w:tcW w:w="2977" w:type="dxa"/>
          </w:tcPr>
          <w:p w14:paraId="7DB1111E" w14:textId="77777777" w:rsidR="00794F1C" w:rsidRPr="00730CC1" w:rsidRDefault="00794F1C" w:rsidP="00794F1C">
            <w:pPr>
              <w:pStyle w:val="CM4"/>
              <w:numPr>
                <w:ilvl w:val="0"/>
                <w:numId w:val="23"/>
              </w:numPr>
              <w:spacing w:before="60" w:after="60" w:line="276" w:lineRule="auto"/>
              <w:ind w:left="303"/>
              <w:jc w:val="both"/>
              <w:cnfStyle w:val="000000100000" w:firstRow="0" w:lastRow="0" w:firstColumn="0" w:lastColumn="0" w:oddVBand="0" w:evenVBand="0" w:oddHBand="1" w:evenHBand="0" w:firstRowFirstColumn="0" w:firstRowLastColumn="0" w:lastRowFirstColumn="0" w:lastRowLastColumn="0"/>
              <w:rPr>
                <w:rFonts w:asciiTheme="majorHAnsi" w:hAnsiTheme="majorHAnsi" w:cs="EUAlbertina"/>
                <w:color w:val="000000"/>
                <w:sz w:val="20"/>
                <w:szCs w:val="20"/>
                <w:lang w:val="lt-LT"/>
              </w:rPr>
            </w:pPr>
            <w:r w:rsidRPr="00730CC1">
              <w:rPr>
                <w:rFonts w:asciiTheme="majorHAnsi" w:hAnsiTheme="majorHAnsi" w:cs="EUAlbertina"/>
                <w:color w:val="000000"/>
                <w:sz w:val="20"/>
                <w:szCs w:val="20"/>
                <w:lang w:val="lt-LT"/>
              </w:rPr>
              <w:t>indėlis siekiant Sąjungos tikslo iki 2020 m. žmonių, kurie gyvena skurde arba kuriems gresia skurdas ir socialinė atskirtis, skaičių sumažinti bent 20 mln., atsižvelgiant į materialinio nepritekliaus problemą, kurią pasirinkta spręsti, ir nacionalines aplinkybes, susijusias su skurdu, socialine atskirtimi ir materialiniu nepritekliumi;</w:t>
            </w:r>
          </w:p>
          <w:p w14:paraId="0CEA9E05" w14:textId="77777777" w:rsidR="00794F1C" w:rsidRPr="00730CC1" w:rsidRDefault="00794F1C" w:rsidP="00794F1C">
            <w:pPr>
              <w:pStyle w:val="CM4"/>
              <w:numPr>
                <w:ilvl w:val="0"/>
                <w:numId w:val="23"/>
              </w:numPr>
              <w:spacing w:before="60" w:after="60" w:line="276" w:lineRule="auto"/>
              <w:ind w:left="303"/>
              <w:jc w:val="both"/>
              <w:cnfStyle w:val="000000100000" w:firstRow="0" w:lastRow="0" w:firstColumn="0" w:lastColumn="0" w:oddVBand="0" w:evenVBand="0" w:oddHBand="1" w:evenHBand="0" w:firstRowFirstColumn="0" w:firstRowLastColumn="0" w:lastRowFirstColumn="0" w:lastRowLastColumn="0"/>
              <w:rPr>
                <w:rFonts w:asciiTheme="majorHAnsi" w:hAnsiTheme="majorHAnsi" w:cs="EUAlbertina"/>
                <w:color w:val="000000"/>
                <w:sz w:val="20"/>
                <w:szCs w:val="20"/>
                <w:lang w:val="lt-LT"/>
              </w:rPr>
            </w:pPr>
            <w:r w:rsidRPr="00730CC1">
              <w:rPr>
                <w:rFonts w:asciiTheme="majorHAnsi" w:hAnsiTheme="majorHAnsi" w:cs="EUAlbertina"/>
                <w:color w:val="000000"/>
                <w:sz w:val="20"/>
                <w:szCs w:val="20"/>
                <w:lang w:val="lt-LT"/>
              </w:rPr>
              <w:t>siūlomos veiksmų programos vidaus nuoseklumas ir jos ryšys su kitomis susijusiomis finansinėmis priemonėmis;</w:t>
            </w:r>
          </w:p>
        </w:tc>
        <w:tc>
          <w:tcPr>
            <w:tcW w:w="4665" w:type="dxa"/>
          </w:tcPr>
          <w:p w14:paraId="1FBCCB82" w14:textId="2F37F75F" w:rsidR="00794F1C" w:rsidRPr="00730CC1" w:rsidRDefault="00794F1C" w:rsidP="00794F1C">
            <w:pPr>
              <w:pStyle w:val="Default"/>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730CC1">
              <w:rPr>
                <w:rFonts w:asciiTheme="majorHAnsi" w:hAnsiTheme="majorHAnsi"/>
                <w:sz w:val="20"/>
                <w:szCs w:val="20"/>
              </w:rPr>
              <w:t>1. Ar veiksmų programos projekte aprašyta padėtis dėl labiausiai skurstančių asmenų yra pagrįsta, aiški ir tinkama? Kaip veiksmų programa prisidės prie konkretaus strategijos „Europa 2020“ tikslo – žmonių, kuriems gresia skurdas ir socialinė atskirtis</w:t>
            </w:r>
            <w:r w:rsidR="00373060">
              <w:rPr>
                <w:rFonts w:asciiTheme="majorHAnsi" w:hAnsiTheme="majorHAnsi"/>
                <w:sz w:val="20"/>
                <w:szCs w:val="20"/>
              </w:rPr>
              <w:t>,</w:t>
            </w:r>
            <w:r w:rsidRPr="00730CC1">
              <w:rPr>
                <w:rFonts w:asciiTheme="majorHAnsi" w:hAnsiTheme="majorHAnsi"/>
                <w:sz w:val="20"/>
                <w:szCs w:val="20"/>
              </w:rPr>
              <w:t xml:space="preserve"> skaičiaus sumažinimo </w:t>
            </w:r>
            <w:r w:rsidR="00373060">
              <w:rPr>
                <w:rFonts w:asciiTheme="majorHAnsi" w:hAnsiTheme="majorHAnsi"/>
                <w:sz w:val="20"/>
                <w:szCs w:val="20"/>
              </w:rPr>
              <w:t xml:space="preserve">– </w:t>
            </w:r>
            <w:r w:rsidRPr="00730CC1">
              <w:rPr>
                <w:rFonts w:asciiTheme="majorHAnsi" w:hAnsiTheme="majorHAnsi"/>
                <w:sz w:val="20"/>
                <w:szCs w:val="20"/>
              </w:rPr>
              <w:t xml:space="preserve">pasiekimo? </w:t>
            </w:r>
          </w:p>
          <w:p w14:paraId="28D7FBB7" w14:textId="77777777" w:rsidR="00794F1C" w:rsidRPr="00730CC1" w:rsidRDefault="00794F1C" w:rsidP="00794F1C">
            <w:pPr>
              <w:pStyle w:val="Default"/>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730CC1">
              <w:rPr>
                <w:rFonts w:asciiTheme="majorHAnsi" w:hAnsiTheme="majorHAnsi"/>
                <w:sz w:val="20"/>
                <w:szCs w:val="20"/>
              </w:rPr>
              <w:t xml:space="preserve">2. Ar veiksmų programos projekto loginis pagrindas yra aiškus ir nuoseklus? Ar veiksmų programos projekte nustatytos materialinio nepritekliaus rūšys yra tinkamos? </w:t>
            </w:r>
          </w:p>
          <w:p w14:paraId="00E06BE2" w14:textId="19C9A811" w:rsidR="00794F1C" w:rsidRPr="00730CC1" w:rsidRDefault="00794F1C" w:rsidP="00794F1C">
            <w:pPr>
              <w:pStyle w:val="Default"/>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730CC1">
              <w:rPr>
                <w:rFonts w:asciiTheme="majorHAnsi" w:hAnsiTheme="majorHAnsi"/>
                <w:sz w:val="20"/>
                <w:szCs w:val="20"/>
              </w:rPr>
              <w:t>3. Ar pasirinkta ta tikslinė grupė, kuri atitinka Fondo finansavimo reikalavimus? Ar parinktos pagalbos priemonės (maistas ir / ar būtinojo vartojimo prekės ir / ar papildančios priemonės) yra tinkamiausios konkrečiai tikslinei grupei (t.</w:t>
            </w:r>
            <w:r w:rsidR="00373060">
              <w:rPr>
                <w:rFonts w:asciiTheme="majorHAnsi" w:hAnsiTheme="majorHAnsi"/>
                <w:sz w:val="20"/>
                <w:szCs w:val="20"/>
              </w:rPr>
              <w:t> </w:t>
            </w:r>
            <w:r w:rsidRPr="00730CC1">
              <w:rPr>
                <w:rFonts w:asciiTheme="majorHAnsi" w:hAnsiTheme="majorHAnsi"/>
                <w:sz w:val="20"/>
                <w:szCs w:val="20"/>
              </w:rPr>
              <w:t xml:space="preserve">y., skurstantiems vaikams benamiams, skurstantiems suaugusiems ir pan.)? Ar aišku, kokie vidiniai ir išoriniai veiksniai ir kaip lems planuojamos pagalbos efektyvumą ir rezultatų pasiekimą? </w:t>
            </w:r>
          </w:p>
        </w:tc>
      </w:tr>
      <w:tr w:rsidR="00794F1C" w:rsidRPr="00730CC1" w14:paraId="7FF7B646" w14:textId="77777777" w:rsidTr="00440F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18341609" w14:textId="77777777" w:rsidR="00794F1C" w:rsidRPr="00730CC1" w:rsidRDefault="00794F1C" w:rsidP="00F43244">
            <w:pPr>
              <w:rPr>
                <w:rFonts w:asciiTheme="majorHAnsi" w:hAnsiTheme="majorHAnsi"/>
                <w:sz w:val="20"/>
                <w:szCs w:val="20"/>
              </w:rPr>
            </w:pPr>
            <w:r w:rsidRPr="00730CC1">
              <w:rPr>
                <w:rFonts w:asciiTheme="majorHAnsi" w:hAnsiTheme="majorHAnsi"/>
                <w:sz w:val="20"/>
                <w:szCs w:val="20"/>
              </w:rPr>
              <w:t>2. STEBĖSENOS  RODIKLIŲ TINKAMUMAS IR REALISTIŠKUMAS</w:t>
            </w:r>
          </w:p>
        </w:tc>
        <w:tc>
          <w:tcPr>
            <w:tcW w:w="2977" w:type="dxa"/>
          </w:tcPr>
          <w:p w14:paraId="213E281F" w14:textId="5F3D4362" w:rsidR="00794F1C" w:rsidRPr="00730CC1" w:rsidRDefault="00794F1C" w:rsidP="00794F1C">
            <w:pPr>
              <w:pStyle w:val="CM4"/>
              <w:numPr>
                <w:ilvl w:val="0"/>
                <w:numId w:val="23"/>
              </w:numPr>
              <w:spacing w:before="60" w:after="60" w:line="276" w:lineRule="auto"/>
              <w:ind w:left="303"/>
              <w:jc w:val="both"/>
              <w:cnfStyle w:val="000000010000" w:firstRow="0" w:lastRow="0" w:firstColumn="0" w:lastColumn="0" w:oddVBand="0" w:evenVBand="0" w:oddHBand="0" w:evenHBand="1" w:firstRowFirstColumn="0" w:firstRowLastColumn="0" w:lastRowFirstColumn="0" w:lastRowLastColumn="0"/>
              <w:rPr>
                <w:rFonts w:asciiTheme="majorHAnsi" w:hAnsiTheme="majorHAnsi" w:cs="EUAlbertina"/>
                <w:color w:val="000000"/>
                <w:sz w:val="20"/>
                <w:szCs w:val="20"/>
                <w:lang w:val="lt-LT"/>
              </w:rPr>
            </w:pPr>
            <w:r w:rsidRPr="00730CC1">
              <w:rPr>
                <w:rFonts w:asciiTheme="majorHAnsi" w:hAnsiTheme="majorHAnsi" w:cs="EUAlbertina"/>
                <w:color w:val="000000"/>
                <w:sz w:val="20"/>
                <w:szCs w:val="20"/>
                <w:lang w:val="lt-LT"/>
              </w:rPr>
              <w:t xml:space="preserve">paskirtų biudžeto išteklių </w:t>
            </w:r>
            <w:r w:rsidR="006B68BE">
              <w:rPr>
                <w:rFonts w:asciiTheme="majorHAnsi" w:hAnsiTheme="majorHAnsi" w:cs="EUAlbertina"/>
                <w:color w:val="000000"/>
                <w:sz w:val="20"/>
                <w:szCs w:val="20"/>
                <w:lang w:val="lt-LT"/>
              </w:rPr>
              <w:t>d</w:t>
            </w:r>
            <w:r w:rsidRPr="00730CC1">
              <w:rPr>
                <w:rFonts w:asciiTheme="majorHAnsi" w:hAnsiTheme="majorHAnsi" w:cs="EUAlbertina"/>
                <w:color w:val="000000"/>
                <w:sz w:val="20"/>
                <w:szCs w:val="20"/>
                <w:lang w:val="lt-LT"/>
              </w:rPr>
              <w:t xml:space="preserve">erėjimas su veiksmų programos tikslais; </w:t>
            </w:r>
          </w:p>
          <w:p w14:paraId="6895E05C" w14:textId="77777777" w:rsidR="00794F1C" w:rsidRPr="00730CC1" w:rsidRDefault="00794F1C" w:rsidP="00794F1C">
            <w:pPr>
              <w:pStyle w:val="CM4"/>
              <w:numPr>
                <w:ilvl w:val="0"/>
                <w:numId w:val="23"/>
              </w:numPr>
              <w:spacing w:before="60" w:after="60" w:line="276" w:lineRule="auto"/>
              <w:ind w:left="303"/>
              <w:jc w:val="both"/>
              <w:cnfStyle w:val="000000010000" w:firstRow="0" w:lastRow="0" w:firstColumn="0" w:lastColumn="0" w:oddVBand="0" w:evenVBand="0" w:oddHBand="0" w:evenHBand="1" w:firstRowFirstColumn="0" w:firstRowLastColumn="0" w:lastRowFirstColumn="0" w:lastRowLastColumn="0"/>
              <w:rPr>
                <w:rFonts w:asciiTheme="majorHAnsi" w:hAnsiTheme="majorHAnsi" w:cs="EUAlbertina"/>
                <w:color w:val="000000"/>
                <w:sz w:val="20"/>
                <w:szCs w:val="20"/>
                <w:lang w:val="lt-LT"/>
              </w:rPr>
            </w:pPr>
            <w:r w:rsidRPr="00730CC1">
              <w:rPr>
                <w:rFonts w:asciiTheme="majorHAnsi" w:hAnsiTheme="majorHAnsi" w:cs="EUAlbertina"/>
                <w:color w:val="000000"/>
                <w:sz w:val="20"/>
                <w:szCs w:val="20"/>
                <w:lang w:val="lt-LT"/>
              </w:rPr>
              <w:t>nustatytų produkto rodiklių indėlis siekiant rezultatų, taigi ir Fondo tikslų;</w:t>
            </w:r>
          </w:p>
        </w:tc>
        <w:tc>
          <w:tcPr>
            <w:tcW w:w="4665" w:type="dxa"/>
          </w:tcPr>
          <w:p w14:paraId="58CD24FA" w14:textId="77777777" w:rsidR="00794F1C" w:rsidRPr="00730CC1" w:rsidRDefault="00794F1C" w:rsidP="00794F1C">
            <w:pPr>
              <w:pStyle w:val="Default"/>
              <w:jc w:val="both"/>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730CC1">
              <w:rPr>
                <w:rFonts w:asciiTheme="majorHAnsi" w:hAnsiTheme="majorHAnsi"/>
                <w:sz w:val="20"/>
                <w:szCs w:val="20"/>
              </w:rPr>
              <w:t xml:space="preserve">4. Ar numatyti finansiniai ištekliai yra pakankami veiksmų programos tikslams pasiekti? Ar pasirinktos pačios efektyviausios paramos skirstymo formos? </w:t>
            </w:r>
          </w:p>
          <w:p w14:paraId="511078D0" w14:textId="1119BCD3" w:rsidR="00794F1C" w:rsidRPr="00730CC1" w:rsidRDefault="00794F1C" w:rsidP="00794F1C">
            <w:pPr>
              <w:pStyle w:val="Default"/>
              <w:jc w:val="both"/>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730CC1">
              <w:rPr>
                <w:rFonts w:asciiTheme="majorHAnsi" w:hAnsiTheme="majorHAnsi"/>
                <w:sz w:val="20"/>
                <w:szCs w:val="20"/>
              </w:rPr>
              <w:t>5. Ar veiksmų programos projekte aiškiai apibrėžti rodikliai stebėsenai ir vertinimui? Ar siekiami tikslai yra realistiški</w:t>
            </w:r>
            <w:r w:rsidR="00373060">
              <w:rPr>
                <w:rFonts w:asciiTheme="majorHAnsi" w:hAnsiTheme="majorHAnsi"/>
                <w:sz w:val="20"/>
                <w:szCs w:val="20"/>
              </w:rPr>
              <w:t>,</w:t>
            </w:r>
            <w:r w:rsidRPr="00730CC1">
              <w:rPr>
                <w:rFonts w:asciiTheme="majorHAnsi" w:hAnsiTheme="majorHAnsi"/>
                <w:sz w:val="20"/>
                <w:szCs w:val="20"/>
              </w:rPr>
              <w:t xml:space="preserve"> atsižvelgiant į numatomas intervencijas ir suplanuotą finansavimą? </w:t>
            </w:r>
          </w:p>
        </w:tc>
      </w:tr>
      <w:tr w:rsidR="00794F1C" w:rsidRPr="00730CC1" w14:paraId="34D1164D" w14:textId="77777777" w:rsidTr="00440F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5D189F27" w14:textId="77777777" w:rsidR="00794F1C" w:rsidRPr="00730CC1" w:rsidRDefault="00794F1C" w:rsidP="00F43244">
            <w:pPr>
              <w:rPr>
                <w:rFonts w:asciiTheme="majorHAnsi" w:hAnsiTheme="majorHAnsi"/>
                <w:sz w:val="20"/>
                <w:szCs w:val="20"/>
              </w:rPr>
            </w:pPr>
            <w:r w:rsidRPr="00730CC1">
              <w:rPr>
                <w:rFonts w:asciiTheme="majorHAnsi" w:hAnsiTheme="majorHAnsi"/>
                <w:sz w:val="20"/>
                <w:szCs w:val="20"/>
              </w:rPr>
              <w:lastRenderedPageBreak/>
              <w:t xml:space="preserve">3. VEIKSMŲ PROGRAMOS ĮGYVENDINIMO SISTEMA </w:t>
            </w:r>
          </w:p>
        </w:tc>
        <w:tc>
          <w:tcPr>
            <w:tcW w:w="2977" w:type="dxa"/>
          </w:tcPr>
          <w:p w14:paraId="149E8173" w14:textId="236D9ECE" w:rsidR="00794F1C" w:rsidRPr="00730CC1" w:rsidRDefault="00794F1C" w:rsidP="00794F1C">
            <w:pPr>
              <w:pStyle w:val="ListParagraph"/>
              <w:numPr>
                <w:ilvl w:val="0"/>
                <w:numId w:val="23"/>
              </w:numPr>
              <w:spacing w:line="240" w:lineRule="auto"/>
              <w:ind w:left="303"/>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730CC1">
              <w:rPr>
                <w:rFonts w:asciiTheme="majorHAnsi" w:hAnsiTheme="majorHAnsi" w:cs="EUAlbertina"/>
                <w:color w:val="000000"/>
                <w:sz w:val="20"/>
                <w:szCs w:val="20"/>
              </w:rPr>
              <w:t>veiksmų programos stebėsenos ir duomenų, reikalingų vertinimui, rinkimo tvarkos tinkamumas</w:t>
            </w:r>
            <w:r w:rsidR="00373060">
              <w:rPr>
                <w:rFonts w:asciiTheme="majorHAnsi" w:hAnsiTheme="majorHAnsi" w:cs="EUAlbertina"/>
                <w:color w:val="000000"/>
                <w:sz w:val="20"/>
                <w:szCs w:val="20"/>
              </w:rPr>
              <w:t>;</w:t>
            </w:r>
          </w:p>
        </w:tc>
        <w:tc>
          <w:tcPr>
            <w:tcW w:w="4665" w:type="dxa"/>
          </w:tcPr>
          <w:p w14:paraId="1FD8C9EF" w14:textId="77777777" w:rsidR="00794F1C" w:rsidRPr="00730CC1" w:rsidRDefault="00794F1C" w:rsidP="00794F1C">
            <w:pPr>
              <w:pStyle w:val="Default"/>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730CC1">
              <w:rPr>
                <w:rFonts w:asciiTheme="majorHAnsi" w:hAnsiTheme="majorHAnsi"/>
                <w:sz w:val="20"/>
                <w:szCs w:val="20"/>
              </w:rPr>
              <w:t xml:space="preserve">6. Ar veiksmų programos įgyvendinimo sistema ir procedūros yra tinkamos, siekiant užtikrinti rezultatyvų veiksmų programos įgyvendinimą? Ar pakankami žmogiškieji ištekliai ir institucijų bei paramos gavėjų administraciniai gebėjimai (ypač atsižvelgiant į tikslinę grupę)? Ar adekvatus planuojamas techninės paramos panaudojimas? </w:t>
            </w:r>
          </w:p>
          <w:p w14:paraId="5AC78F4B" w14:textId="77777777" w:rsidR="00794F1C" w:rsidRPr="00730CC1" w:rsidRDefault="00794F1C" w:rsidP="00794F1C">
            <w:pPr>
              <w:pStyle w:val="Default"/>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730CC1">
              <w:rPr>
                <w:rFonts w:asciiTheme="majorHAnsi" w:hAnsiTheme="majorHAnsi"/>
                <w:sz w:val="20"/>
                <w:szCs w:val="20"/>
              </w:rPr>
              <w:t xml:space="preserve">7. Kokia yra administracinė našta pareiškėjams, teikiant paraišką paramai gauti? Kokiais būdais administracinė našta pareiškėjams ir paramos gavėjams gali būti sumažinta ateityje (jeigu būtina)? </w:t>
            </w:r>
          </w:p>
        </w:tc>
      </w:tr>
      <w:tr w:rsidR="00794F1C" w:rsidRPr="00730CC1" w14:paraId="703585CD" w14:textId="77777777" w:rsidTr="00440F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54514A95" w14:textId="77777777" w:rsidR="00794F1C" w:rsidRPr="00730CC1" w:rsidRDefault="00794F1C" w:rsidP="00F43244">
            <w:pPr>
              <w:rPr>
                <w:rFonts w:asciiTheme="majorHAnsi" w:hAnsiTheme="majorHAnsi"/>
                <w:sz w:val="20"/>
                <w:szCs w:val="20"/>
              </w:rPr>
            </w:pPr>
            <w:r w:rsidRPr="00730CC1">
              <w:rPr>
                <w:rFonts w:asciiTheme="majorHAnsi" w:hAnsiTheme="majorHAnsi"/>
                <w:sz w:val="20"/>
                <w:szCs w:val="20"/>
              </w:rPr>
              <w:t>4. PARTNERYSTĖS PRINCIPO ĮGYVENDINIMAS</w:t>
            </w:r>
          </w:p>
        </w:tc>
        <w:tc>
          <w:tcPr>
            <w:tcW w:w="2977" w:type="dxa"/>
          </w:tcPr>
          <w:p w14:paraId="4DA72253" w14:textId="77777777" w:rsidR="00794F1C" w:rsidRPr="00730CC1" w:rsidRDefault="00794F1C" w:rsidP="00794F1C">
            <w:pPr>
              <w:pStyle w:val="CM4"/>
              <w:numPr>
                <w:ilvl w:val="0"/>
                <w:numId w:val="23"/>
              </w:numPr>
              <w:spacing w:before="60" w:after="60" w:line="276" w:lineRule="auto"/>
              <w:ind w:left="303"/>
              <w:jc w:val="both"/>
              <w:cnfStyle w:val="000000010000" w:firstRow="0" w:lastRow="0" w:firstColumn="0" w:lastColumn="0" w:oddVBand="0" w:evenVBand="0" w:oddHBand="0" w:evenHBand="1" w:firstRowFirstColumn="0" w:firstRowLastColumn="0" w:lastRowFirstColumn="0" w:lastRowLastColumn="0"/>
              <w:rPr>
                <w:rFonts w:asciiTheme="majorHAnsi" w:hAnsiTheme="majorHAnsi" w:cs="EUAlbertina"/>
                <w:color w:val="000000"/>
                <w:sz w:val="20"/>
                <w:szCs w:val="20"/>
                <w:lang w:val="lt-LT"/>
              </w:rPr>
            </w:pPr>
            <w:r w:rsidRPr="00730CC1">
              <w:rPr>
                <w:rFonts w:asciiTheme="majorHAnsi" w:hAnsiTheme="majorHAnsi" w:cs="EUAlbertina"/>
                <w:color w:val="000000"/>
                <w:sz w:val="20"/>
                <w:szCs w:val="20"/>
                <w:lang w:val="lt-LT"/>
              </w:rPr>
              <w:t xml:space="preserve">visų suinteresuotųjų šalių dalyvavimas; </w:t>
            </w:r>
          </w:p>
        </w:tc>
        <w:tc>
          <w:tcPr>
            <w:tcW w:w="4665" w:type="dxa"/>
          </w:tcPr>
          <w:p w14:paraId="1FDCAF15" w14:textId="77777777" w:rsidR="00794F1C" w:rsidRPr="00730CC1" w:rsidRDefault="00794F1C" w:rsidP="00794F1C">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730CC1">
              <w:rPr>
                <w:rFonts w:asciiTheme="majorHAnsi" w:hAnsiTheme="majorHAnsi"/>
                <w:sz w:val="20"/>
                <w:szCs w:val="20"/>
              </w:rPr>
              <w:t>8. Ar buvo užtikrintas partnerystės principo taikymas rengiant veiksmų programos projektą? Ar socialinių-ekonominių partnerių įtraukimas į veiksmų programos projekto rengimo procesą pakankamas?</w:t>
            </w:r>
          </w:p>
        </w:tc>
      </w:tr>
      <w:tr w:rsidR="00794F1C" w:rsidRPr="00730CC1" w14:paraId="2655D33B" w14:textId="77777777" w:rsidTr="00440F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505B0D1F" w14:textId="77777777" w:rsidR="00794F1C" w:rsidRPr="00730CC1" w:rsidRDefault="00794F1C" w:rsidP="00F43244">
            <w:pPr>
              <w:rPr>
                <w:rFonts w:asciiTheme="majorHAnsi" w:hAnsiTheme="majorHAnsi"/>
                <w:sz w:val="20"/>
                <w:szCs w:val="20"/>
              </w:rPr>
            </w:pPr>
            <w:r w:rsidRPr="00730CC1">
              <w:rPr>
                <w:rFonts w:asciiTheme="majorHAnsi" w:hAnsiTheme="majorHAnsi"/>
                <w:sz w:val="20"/>
                <w:szCs w:val="20"/>
              </w:rPr>
              <w:t>PASIŪLYMAI DĖL VEIKSMŲ PROGRAMOS TOBULINIMO</w:t>
            </w:r>
          </w:p>
        </w:tc>
        <w:tc>
          <w:tcPr>
            <w:tcW w:w="2977" w:type="dxa"/>
          </w:tcPr>
          <w:p w14:paraId="50133DA5" w14:textId="77777777" w:rsidR="00794F1C" w:rsidRPr="00730CC1" w:rsidRDefault="00794F1C" w:rsidP="00F43244">
            <w:pPr>
              <w:pStyle w:val="ListParagraph"/>
              <w:ind w:left="303"/>
              <w:cnfStyle w:val="000000100000" w:firstRow="0" w:lastRow="0" w:firstColumn="0" w:lastColumn="0" w:oddVBand="0" w:evenVBand="0" w:oddHBand="1" w:evenHBand="0" w:firstRowFirstColumn="0" w:firstRowLastColumn="0" w:lastRowFirstColumn="0" w:lastRowLastColumn="0"/>
              <w:rPr>
                <w:rFonts w:asciiTheme="majorHAnsi" w:hAnsiTheme="majorHAnsi" w:cs="EUAlbertina"/>
                <w:color w:val="000000"/>
                <w:sz w:val="20"/>
                <w:szCs w:val="20"/>
              </w:rPr>
            </w:pPr>
          </w:p>
        </w:tc>
        <w:tc>
          <w:tcPr>
            <w:tcW w:w="4665" w:type="dxa"/>
          </w:tcPr>
          <w:p w14:paraId="0D30C58D" w14:textId="77777777" w:rsidR="00794F1C" w:rsidRPr="00730CC1" w:rsidRDefault="00794F1C" w:rsidP="00794F1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730CC1">
              <w:rPr>
                <w:rFonts w:asciiTheme="majorHAnsi" w:hAnsiTheme="majorHAnsi"/>
                <w:sz w:val="20"/>
                <w:szCs w:val="20"/>
              </w:rPr>
              <w:t xml:space="preserve">9. Kaip turi būti tobulinamas veiksmų programos projekto turinys ir kokių papildomų priemonių reikia imtis, atsižvelgiant į išankstinio vertinimo metu nustatytus veiksmų programos projekto trūkumus? </w:t>
            </w:r>
          </w:p>
          <w:p w14:paraId="23176733" w14:textId="77777777" w:rsidR="00794F1C" w:rsidRPr="00730CC1" w:rsidRDefault="00794F1C" w:rsidP="00794F1C">
            <w:pPr>
              <w:pStyle w:val="Default"/>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730CC1">
              <w:rPr>
                <w:rFonts w:asciiTheme="majorHAnsi" w:hAnsiTheme="majorHAnsi"/>
                <w:sz w:val="20"/>
                <w:szCs w:val="20"/>
              </w:rPr>
              <w:t xml:space="preserve">10. Kaip reikėtų tobulinti 2014–2020 m. veiksmų programos administravimo sistemą? (Siūlymai pateikiami dėl institucinės sandaros, administravimo principų ir procedūrų.) </w:t>
            </w:r>
          </w:p>
          <w:p w14:paraId="53DED31D" w14:textId="77777777" w:rsidR="00794F1C" w:rsidRPr="00730CC1" w:rsidRDefault="00794F1C" w:rsidP="00794F1C">
            <w:pPr>
              <w:pStyle w:val="Default"/>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730CC1">
              <w:rPr>
                <w:rFonts w:asciiTheme="majorHAnsi" w:hAnsiTheme="majorHAnsi"/>
                <w:sz w:val="20"/>
                <w:szCs w:val="20"/>
              </w:rPr>
              <w:t>11. Kaip reikėtų stiprinti institucijų ir paramos gavėjų administracinius gebėjimus? (Siūlymai pateikiami atsižvelgiant į esamą situaciją.)</w:t>
            </w:r>
          </w:p>
        </w:tc>
      </w:tr>
    </w:tbl>
    <w:p w14:paraId="6C79030D" w14:textId="55F9E462" w:rsidR="00794F1C" w:rsidRPr="00730CC1" w:rsidRDefault="00794F1C" w:rsidP="00794F1C">
      <w:pPr>
        <w:pStyle w:val="Caption"/>
        <w:rPr>
          <w:b w:val="0"/>
        </w:rPr>
      </w:pPr>
    </w:p>
    <w:p w14:paraId="409B03ED" w14:textId="15F277F0" w:rsidR="00596FDB" w:rsidRPr="00730CC1" w:rsidRDefault="006C1FA9" w:rsidP="006C1FA9">
      <w:pPr>
        <w:spacing w:after="200"/>
        <w:rPr>
          <w:noProof/>
        </w:rPr>
      </w:pPr>
      <w:r w:rsidRPr="00730CC1">
        <w:br w:type="page"/>
      </w:r>
    </w:p>
    <w:p w14:paraId="58E4285F" w14:textId="554DDB0F" w:rsidR="00B33F9D" w:rsidRPr="00730CC1" w:rsidRDefault="00A52582" w:rsidP="00AB5980">
      <w:pPr>
        <w:pStyle w:val="Heading1"/>
        <w:numPr>
          <w:ilvl w:val="0"/>
          <w:numId w:val="6"/>
        </w:numPr>
        <w:ind w:left="1083"/>
      </w:pPr>
      <w:bookmarkStart w:id="1" w:name="_Toc393467605"/>
      <w:r w:rsidRPr="00730CC1">
        <w:lastRenderedPageBreak/>
        <w:t>VEIKSMŲ PROGRAMOS INTERVENCIJŲ LOGIKOS ĮVERTINIMAS</w:t>
      </w:r>
      <w:bookmarkEnd w:id="1"/>
    </w:p>
    <w:p w14:paraId="0AE703F6" w14:textId="14BCCACE" w:rsidR="00AF1C3D" w:rsidRPr="00730CC1" w:rsidRDefault="00AF1C3D" w:rsidP="00767E0C">
      <w:pPr>
        <w:pStyle w:val="Default"/>
        <w:numPr>
          <w:ilvl w:val="0"/>
          <w:numId w:val="21"/>
        </w:numPr>
        <w:jc w:val="both"/>
        <w:rPr>
          <w:rFonts w:asciiTheme="majorHAnsi" w:hAnsiTheme="majorHAnsi"/>
          <w:color w:val="036575" w:themeColor="accent5" w:themeTint="E6"/>
        </w:rPr>
      </w:pPr>
      <w:r w:rsidRPr="00730CC1">
        <w:rPr>
          <w:rFonts w:asciiTheme="majorHAnsi" w:hAnsiTheme="majorHAnsi"/>
          <w:color w:val="036575" w:themeColor="accent5" w:themeTint="E6"/>
        </w:rPr>
        <w:t>Ar veiksmų programos projekte aprašyta padėtis dėl labiausiai skurstančių asmenų yra pagrįsta, aiški ir tinkama? Kaip veiksmų programa prisidės prie konkretaus strategijos „Europa 2020“ tikslo – žmonių, kuriems gresia skurdas ir socialinė atskirtis</w:t>
      </w:r>
      <w:r w:rsidR="00373060">
        <w:rPr>
          <w:rFonts w:asciiTheme="majorHAnsi" w:hAnsiTheme="majorHAnsi"/>
          <w:color w:val="036575" w:themeColor="accent5" w:themeTint="E6"/>
        </w:rPr>
        <w:t>,</w:t>
      </w:r>
      <w:r w:rsidRPr="00730CC1">
        <w:rPr>
          <w:rFonts w:asciiTheme="majorHAnsi" w:hAnsiTheme="majorHAnsi"/>
          <w:color w:val="036575" w:themeColor="accent5" w:themeTint="E6"/>
        </w:rPr>
        <w:t xml:space="preserve"> skaičiaus sumažinimo </w:t>
      </w:r>
      <w:r w:rsidR="00373060">
        <w:rPr>
          <w:rFonts w:asciiTheme="majorHAnsi" w:hAnsiTheme="majorHAnsi"/>
          <w:color w:val="036575" w:themeColor="accent5" w:themeTint="E6"/>
        </w:rPr>
        <w:t xml:space="preserve">– </w:t>
      </w:r>
      <w:r w:rsidRPr="00730CC1">
        <w:rPr>
          <w:rFonts w:asciiTheme="majorHAnsi" w:hAnsiTheme="majorHAnsi"/>
          <w:color w:val="036575" w:themeColor="accent5" w:themeTint="E6"/>
        </w:rPr>
        <w:t xml:space="preserve">pasiekimo? </w:t>
      </w:r>
    </w:p>
    <w:p w14:paraId="1096138E" w14:textId="5E4D737C" w:rsidR="003D1B44" w:rsidRPr="00730CC1" w:rsidRDefault="00596FDB" w:rsidP="00440F15">
      <w:pPr>
        <w:spacing w:before="100" w:beforeAutospacing="1" w:after="100" w:afterAutospacing="1"/>
        <w:ind w:left="363"/>
        <w:jc w:val="both"/>
        <w:rPr>
          <w:sz w:val="22"/>
        </w:rPr>
      </w:pPr>
      <w:r w:rsidRPr="00730CC1">
        <w:rPr>
          <w:sz w:val="22"/>
        </w:rPr>
        <w:t xml:space="preserve">Europos pažangaus, tvaraus ir </w:t>
      </w:r>
      <w:r w:rsidR="00EB7AF0" w:rsidRPr="00730CC1">
        <w:rPr>
          <w:sz w:val="22"/>
        </w:rPr>
        <w:t>integracinio</w:t>
      </w:r>
      <w:r w:rsidRPr="00730CC1">
        <w:rPr>
          <w:sz w:val="22"/>
        </w:rPr>
        <w:t xml:space="preserve"> augimo strategijoje „Europa 2020</w:t>
      </w:r>
      <w:r w:rsidR="00373060">
        <w:rPr>
          <w:sz w:val="22"/>
        </w:rPr>
        <w:t>“</w:t>
      </w:r>
      <w:r w:rsidRPr="00730CC1">
        <w:rPr>
          <w:sz w:val="22"/>
        </w:rPr>
        <w:t xml:space="preserve"> visos ES mastu buvo nustatytas  ambicingas tikslas – iki 2020 m. </w:t>
      </w:r>
      <w:r w:rsidRPr="00730CC1">
        <w:rPr>
          <w:rFonts w:cs="Calibri"/>
          <w:sz w:val="22"/>
        </w:rPr>
        <w:t>bent 20 mln. sumažinti skurde gyvenančių ir soc</w:t>
      </w:r>
      <w:r w:rsidR="00F23812" w:rsidRPr="00730CC1">
        <w:rPr>
          <w:rFonts w:cs="Calibri"/>
          <w:sz w:val="22"/>
        </w:rPr>
        <w:t>ialiai atskirtų žmonių arba tokią riziką</w:t>
      </w:r>
      <w:r w:rsidRPr="00730CC1">
        <w:rPr>
          <w:rFonts w:cs="Calibri"/>
          <w:sz w:val="22"/>
        </w:rPr>
        <w:t xml:space="preserve"> patiriančių žmonių, skaičių</w:t>
      </w:r>
      <w:r w:rsidRPr="00730CC1">
        <w:rPr>
          <w:rStyle w:val="FootnoteReference"/>
          <w:rFonts w:cs="Calibri"/>
          <w:sz w:val="22"/>
        </w:rPr>
        <w:footnoteReference w:id="6"/>
      </w:r>
      <w:r w:rsidRPr="00730CC1">
        <w:rPr>
          <w:rFonts w:cs="Calibri"/>
          <w:sz w:val="22"/>
        </w:rPr>
        <w:t>. Šiam tikslui yra tiesiogiai skirta viena iš „Europa 2020</w:t>
      </w:r>
      <w:r w:rsidR="00373060">
        <w:rPr>
          <w:rFonts w:cs="Calibri"/>
          <w:sz w:val="22"/>
        </w:rPr>
        <w:t>“</w:t>
      </w:r>
      <w:r w:rsidRPr="00730CC1">
        <w:rPr>
          <w:rFonts w:cs="Calibri"/>
          <w:sz w:val="22"/>
        </w:rPr>
        <w:t xml:space="preserve"> pavyzdinių iniciatyvų „Europos kovos su skurdu ir socialine atskirtimi planas“</w:t>
      </w:r>
      <w:r w:rsidRPr="00730CC1">
        <w:rPr>
          <w:rStyle w:val="FootnoteReference"/>
          <w:rFonts w:cs="Calibri"/>
          <w:sz w:val="22"/>
        </w:rPr>
        <w:footnoteReference w:id="7"/>
      </w:r>
      <w:r w:rsidRPr="00730CC1">
        <w:rPr>
          <w:rFonts w:cs="Calibri"/>
          <w:sz w:val="22"/>
        </w:rPr>
        <w:t xml:space="preserve">, </w:t>
      </w:r>
      <w:r w:rsidR="00EB7AF0" w:rsidRPr="00730CC1">
        <w:rPr>
          <w:rFonts w:cs="Calibri"/>
          <w:sz w:val="22"/>
        </w:rPr>
        <w:t>t</w:t>
      </w:r>
      <w:r w:rsidRPr="00730CC1">
        <w:rPr>
          <w:rFonts w:cs="Calibri"/>
          <w:sz w:val="22"/>
        </w:rPr>
        <w:t xml:space="preserve">aip pat buvo sukurta Europos kovos su skurdu ir socialine atskirtimi platforma, kurios pagrindinis uždavinys yra skatinti </w:t>
      </w:r>
      <w:r w:rsidRPr="00730CC1">
        <w:rPr>
          <w:rFonts w:cs="Arial"/>
          <w:sz w:val="22"/>
        </w:rPr>
        <w:t xml:space="preserve">ieškoti naujų veiklos būdų ir padėti vyriausybėms ir kitoms suinteresuotosioms pusėms kurti veiksmingesnius ir naujoviškesnius kovos su skurdu metodus. </w:t>
      </w:r>
      <w:r w:rsidRPr="008749AC">
        <w:rPr>
          <w:rFonts w:cs="Arial"/>
          <w:sz w:val="22"/>
        </w:rPr>
        <w:t>Siekiant užtikrinti, kad skurdo mažinimo tikslui</w:t>
      </w:r>
      <w:r w:rsidR="00C234B2">
        <w:rPr>
          <w:rFonts w:cs="Arial"/>
          <w:sz w:val="22"/>
        </w:rPr>
        <w:t xml:space="preserve"> būtų</w:t>
      </w:r>
      <w:r w:rsidRPr="008749AC">
        <w:rPr>
          <w:rFonts w:cs="Arial"/>
          <w:sz w:val="22"/>
        </w:rPr>
        <w:t xml:space="preserve"> skiriamas deram</w:t>
      </w:r>
      <w:r w:rsidR="00583492" w:rsidRPr="008749AC">
        <w:rPr>
          <w:rFonts w:cs="Arial"/>
          <w:sz w:val="22"/>
        </w:rPr>
        <w:t>a</w:t>
      </w:r>
      <w:r w:rsidRPr="008749AC">
        <w:rPr>
          <w:rFonts w:cs="Arial"/>
          <w:sz w:val="22"/>
        </w:rPr>
        <w:t>s dėmesys valstybėse narėse, buvo nustatytas sanglaudos politikos 2014</w:t>
      </w:r>
      <w:r w:rsidR="00373060" w:rsidRPr="008749AC">
        <w:rPr>
          <w:rFonts w:cs="Arial"/>
          <w:sz w:val="22"/>
        </w:rPr>
        <w:t>–</w:t>
      </w:r>
      <w:r w:rsidRPr="008749AC">
        <w:rPr>
          <w:rFonts w:cs="Arial"/>
          <w:sz w:val="22"/>
        </w:rPr>
        <w:t>2020 m. įgyvendinimo laikotarpio reikalavimas skurdo ir socialinės atskirties mažinimui skirti ne mažiau kaip 20 proc. Europos socialinio fondo paramos</w:t>
      </w:r>
      <w:r w:rsidRPr="008749AC">
        <w:rPr>
          <w:rStyle w:val="FootnoteReference"/>
          <w:rFonts w:cs="Arial"/>
          <w:sz w:val="22"/>
        </w:rPr>
        <w:footnoteReference w:id="8"/>
      </w:r>
      <w:r w:rsidRPr="008749AC">
        <w:rPr>
          <w:rFonts w:cs="Arial"/>
          <w:sz w:val="22"/>
        </w:rPr>
        <w:t>.</w:t>
      </w:r>
    </w:p>
    <w:p w14:paraId="5C7BDCE5" w14:textId="02261BB0" w:rsidR="00832A4A" w:rsidRPr="00730CC1" w:rsidRDefault="00596FDB" w:rsidP="00440F15">
      <w:pPr>
        <w:pStyle w:val="ListParagraph"/>
        <w:ind w:left="363"/>
        <w:jc w:val="both"/>
        <w:rPr>
          <w:sz w:val="22"/>
        </w:rPr>
      </w:pPr>
      <w:r w:rsidRPr="00730CC1">
        <w:rPr>
          <w:sz w:val="22"/>
        </w:rPr>
        <w:t>Nacionaliniu lygmeniu valstybės narės įsipareigojo siekti „Europa 2020</w:t>
      </w:r>
      <w:r w:rsidR="00373060">
        <w:rPr>
          <w:sz w:val="22"/>
        </w:rPr>
        <w:t>“</w:t>
      </w:r>
      <w:r w:rsidRPr="00730CC1">
        <w:rPr>
          <w:sz w:val="22"/>
        </w:rPr>
        <w:t xml:space="preserve"> tikslų nacionalinėse reformų programose. Lietuvos Nacionalinėje reformų darbotvarkėje nustatyta, kad Lietuva iki 2020 m. sieks skurdą ir socialinę atskirtį arba jų riziką patiriančių asmenų skaičių sumažinti 170 tūkstanči</w:t>
      </w:r>
      <w:r w:rsidR="00373060">
        <w:rPr>
          <w:sz w:val="22"/>
        </w:rPr>
        <w:t>ų</w:t>
      </w:r>
      <w:r w:rsidRPr="00730CC1">
        <w:rPr>
          <w:sz w:val="22"/>
        </w:rPr>
        <w:t xml:space="preserve">, kas sudaro apie 15 proc. Lietuvos gyventojų, kuriems gresia skurdas ir socialinė atskirtis. Remiantis </w:t>
      </w:r>
      <w:proofErr w:type="spellStart"/>
      <w:r w:rsidR="006D4935" w:rsidRPr="005D34E8">
        <w:rPr>
          <w:i/>
          <w:sz w:val="22"/>
        </w:rPr>
        <w:t>Eurostat</w:t>
      </w:r>
      <w:proofErr w:type="spellEnd"/>
      <w:r w:rsidR="006D4935" w:rsidRPr="00730CC1">
        <w:rPr>
          <w:sz w:val="22"/>
        </w:rPr>
        <w:t xml:space="preserve"> </w:t>
      </w:r>
      <w:r w:rsidRPr="00730CC1">
        <w:rPr>
          <w:sz w:val="22"/>
        </w:rPr>
        <w:t xml:space="preserve">duomenimis, </w:t>
      </w:r>
      <w:r w:rsidR="004A589F" w:rsidRPr="00730CC1">
        <w:rPr>
          <w:sz w:val="22"/>
        </w:rPr>
        <w:t xml:space="preserve">2012 m. </w:t>
      </w:r>
      <w:r w:rsidR="001C217D" w:rsidRPr="00730CC1">
        <w:rPr>
          <w:sz w:val="22"/>
        </w:rPr>
        <w:t xml:space="preserve">32,5 proc. </w:t>
      </w:r>
      <w:r w:rsidR="004A589F" w:rsidRPr="00730CC1">
        <w:rPr>
          <w:sz w:val="22"/>
        </w:rPr>
        <w:t>Lietuvo</w:t>
      </w:r>
      <w:r w:rsidR="006C0DBA" w:rsidRPr="00730CC1">
        <w:rPr>
          <w:sz w:val="22"/>
        </w:rPr>
        <w:t xml:space="preserve">s gyventojų gyveno skurdo </w:t>
      </w:r>
      <w:r w:rsidR="001C217D" w:rsidRPr="00730CC1">
        <w:rPr>
          <w:sz w:val="22"/>
        </w:rPr>
        <w:t xml:space="preserve">arba socialinės atskirties </w:t>
      </w:r>
      <w:r w:rsidR="006C0DBA" w:rsidRPr="00730CC1">
        <w:rPr>
          <w:sz w:val="22"/>
        </w:rPr>
        <w:t>rizik</w:t>
      </w:r>
      <w:r w:rsidR="004A589F" w:rsidRPr="00730CC1">
        <w:rPr>
          <w:sz w:val="22"/>
        </w:rPr>
        <w:t>oje.</w:t>
      </w:r>
      <w:r w:rsidR="00832A4A" w:rsidRPr="00730CC1">
        <w:rPr>
          <w:sz w:val="22"/>
        </w:rPr>
        <w:t xml:space="preserve"> Šis strategijos „Europa 2020“ tikslo įgyvendinimo pažangai stebėti naudojamas rodiklis yra sudėtinis</w:t>
      </w:r>
      <w:r w:rsidR="00832A4A" w:rsidRPr="00730CC1">
        <w:rPr>
          <w:rStyle w:val="FootnoteReference"/>
          <w:sz w:val="22"/>
        </w:rPr>
        <w:footnoteReference w:id="9"/>
      </w:r>
      <w:r w:rsidR="00832A4A" w:rsidRPr="00730CC1">
        <w:rPr>
          <w:sz w:val="22"/>
        </w:rPr>
        <w:t xml:space="preserve">, tad siekiant įvertinti, koks galėtų būti Fondo remiamų veiklų indėlis </w:t>
      </w:r>
      <w:r w:rsidR="002658DA">
        <w:rPr>
          <w:sz w:val="22"/>
        </w:rPr>
        <w:t xml:space="preserve">įgyvendinant </w:t>
      </w:r>
      <w:r w:rsidR="00832A4A" w:rsidRPr="00730CC1">
        <w:rPr>
          <w:sz w:val="22"/>
        </w:rPr>
        <w:t>strategin</w:t>
      </w:r>
      <w:r w:rsidR="002658DA">
        <w:rPr>
          <w:sz w:val="22"/>
        </w:rPr>
        <w:t>į</w:t>
      </w:r>
      <w:r w:rsidR="00832A4A" w:rsidRPr="00730CC1">
        <w:rPr>
          <w:sz w:val="22"/>
        </w:rPr>
        <w:t xml:space="preserve"> tiksl</w:t>
      </w:r>
      <w:r w:rsidR="002658DA">
        <w:rPr>
          <w:sz w:val="22"/>
        </w:rPr>
        <w:t>ą</w:t>
      </w:r>
      <w:r w:rsidR="00832A4A" w:rsidRPr="00730CC1">
        <w:rPr>
          <w:sz w:val="22"/>
        </w:rPr>
        <w:t>,</w:t>
      </w:r>
      <w:r w:rsidR="007C1901" w:rsidRPr="00730CC1">
        <w:rPr>
          <w:sz w:val="22"/>
        </w:rPr>
        <w:t xml:space="preserve"> turi būti atsižvelgta į atskiras tokio kompleksinio analizės objekto kaip skurdas </w:t>
      </w:r>
      <w:r w:rsidR="00142C19" w:rsidRPr="00730CC1">
        <w:rPr>
          <w:sz w:val="22"/>
        </w:rPr>
        <w:t>dimensijas.</w:t>
      </w:r>
    </w:p>
    <w:p w14:paraId="307785F9" w14:textId="77777777" w:rsidR="00832A4A" w:rsidRPr="00730CC1" w:rsidRDefault="00832A4A" w:rsidP="00440F15">
      <w:pPr>
        <w:pStyle w:val="ListParagraph"/>
        <w:ind w:left="363"/>
        <w:jc w:val="both"/>
        <w:rPr>
          <w:sz w:val="22"/>
        </w:rPr>
      </w:pPr>
    </w:p>
    <w:p w14:paraId="1C6750EF" w14:textId="0B00ED0E" w:rsidR="00596FDB" w:rsidRPr="00730CC1" w:rsidRDefault="007C1901" w:rsidP="00440F15">
      <w:pPr>
        <w:pStyle w:val="ListParagraph"/>
        <w:ind w:left="363"/>
        <w:jc w:val="both"/>
        <w:rPr>
          <w:rFonts w:cs="Calibri"/>
          <w:sz w:val="22"/>
        </w:rPr>
      </w:pPr>
      <w:r w:rsidRPr="00730CC1">
        <w:rPr>
          <w:sz w:val="22"/>
        </w:rPr>
        <w:t>Lietuvoje žemiau skurdo rizikos ribos 2012 m. i</w:t>
      </w:r>
      <w:r w:rsidR="00646837" w:rsidRPr="00730CC1">
        <w:rPr>
          <w:sz w:val="22"/>
        </w:rPr>
        <w:t>š viso gyveno 18,6 proc. žmonių.</w:t>
      </w:r>
      <w:r w:rsidRPr="00730CC1">
        <w:rPr>
          <w:sz w:val="22"/>
        </w:rPr>
        <w:t xml:space="preserve"> </w:t>
      </w:r>
      <w:r w:rsidR="004A589F" w:rsidRPr="00730CC1">
        <w:rPr>
          <w:sz w:val="22"/>
        </w:rPr>
        <w:t>D</w:t>
      </w:r>
      <w:r w:rsidR="00596FDB" w:rsidRPr="00730CC1">
        <w:rPr>
          <w:sz w:val="22"/>
        </w:rPr>
        <w:t>idžiausias skurdo rizikos lygis</w:t>
      </w:r>
      <w:r w:rsidR="00F01ABC" w:rsidRPr="00730CC1">
        <w:rPr>
          <w:rStyle w:val="FootnoteReference"/>
          <w:sz w:val="22"/>
        </w:rPr>
        <w:footnoteReference w:id="10"/>
      </w:r>
      <w:r w:rsidR="00596FDB" w:rsidRPr="00730CC1">
        <w:rPr>
          <w:sz w:val="22"/>
        </w:rPr>
        <w:t xml:space="preserve"> pagal gyvenamąją vietą </w:t>
      </w:r>
      <w:r w:rsidR="00F01ABC" w:rsidRPr="00730CC1">
        <w:rPr>
          <w:sz w:val="22"/>
        </w:rPr>
        <w:t>buvo</w:t>
      </w:r>
      <w:r w:rsidR="00596FDB" w:rsidRPr="00730CC1">
        <w:rPr>
          <w:sz w:val="22"/>
        </w:rPr>
        <w:t xml:space="preserve"> pastebimas kaimuose, taip pat dažniau skursta bedarbių namų ūkiai (54,4 pro</w:t>
      </w:r>
      <w:r w:rsidR="0009258A" w:rsidRPr="00730CC1">
        <w:rPr>
          <w:sz w:val="22"/>
        </w:rPr>
        <w:t>c.), vaikus auginantys</w:t>
      </w:r>
      <w:r w:rsidR="004A589F" w:rsidRPr="00730CC1">
        <w:rPr>
          <w:sz w:val="22"/>
        </w:rPr>
        <w:t xml:space="preserve"> vieniši asmenys</w:t>
      </w:r>
      <w:r w:rsidR="00596FDB" w:rsidRPr="00730CC1">
        <w:rPr>
          <w:sz w:val="22"/>
        </w:rPr>
        <w:t xml:space="preserve"> (39,2 proc.), 50</w:t>
      </w:r>
      <w:r w:rsidR="00F13617">
        <w:rPr>
          <w:sz w:val="22"/>
        </w:rPr>
        <w:t>–</w:t>
      </w:r>
      <w:r w:rsidR="00596FDB" w:rsidRPr="00730CC1">
        <w:rPr>
          <w:sz w:val="22"/>
        </w:rPr>
        <w:t>64 m. amžiaus asmenys (38,1), egzistuoja vaikų skurdo problema (20,8 proc.). Toliau pateikiam</w:t>
      </w:r>
      <w:r w:rsidR="00F13617">
        <w:rPr>
          <w:sz w:val="22"/>
        </w:rPr>
        <w:t>oje</w:t>
      </w:r>
      <w:r w:rsidR="00596FDB" w:rsidRPr="00730CC1">
        <w:rPr>
          <w:sz w:val="22"/>
        </w:rPr>
        <w:t xml:space="preserve"> lentelė</w:t>
      </w:r>
      <w:r w:rsidR="00F13617">
        <w:rPr>
          <w:sz w:val="22"/>
        </w:rPr>
        <w:t>je</w:t>
      </w:r>
      <w:r w:rsidR="00596FDB" w:rsidRPr="00730CC1">
        <w:rPr>
          <w:sz w:val="22"/>
        </w:rPr>
        <w:t xml:space="preserve"> apibendrina</w:t>
      </w:r>
      <w:r w:rsidR="00F13617">
        <w:rPr>
          <w:sz w:val="22"/>
        </w:rPr>
        <w:t>mi</w:t>
      </w:r>
      <w:r w:rsidR="00596FDB" w:rsidRPr="00730CC1">
        <w:rPr>
          <w:sz w:val="22"/>
        </w:rPr>
        <w:t xml:space="preserve"> pagrindini</w:t>
      </w:r>
      <w:r w:rsidR="00F13617">
        <w:rPr>
          <w:sz w:val="22"/>
        </w:rPr>
        <w:t>ai</w:t>
      </w:r>
      <w:r w:rsidR="00596FDB" w:rsidRPr="00730CC1">
        <w:rPr>
          <w:sz w:val="22"/>
        </w:rPr>
        <w:t xml:space="preserve"> statistini</w:t>
      </w:r>
      <w:r w:rsidR="00F13617">
        <w:rPr>
          <w:sz w:val="22"/>
        </w:rPr>
        <w:t>ai</w:t>
      </w:r>
      <w:r w:rsidR="00596FDB" w:rsidRPr="00730CC1">
        <w:rPr>
          <w:sz w:val="22"/>
        </w:rPr>
        <w:t xml:space="preserve"> duomen</w:t>
      </w:r>
      <w:r w:rsidR="00F13617">
        <w:rPr>
          <w:sz w:val="22"/>
        </w:rPr>
        <w:t>y</w:t>
      </w:r>
      <w:r w:rsidR="00596FDB" w:rsidRPr="00730CC1">
        <w:rPr>
          <w:sz w:val="22"/>
        </w:rPr>
        <w:t>s apie skurdo rizikos lygį Lietuvoje.</w:t>
      </w:r>
    </w:p>
    <w:p w14:paraId="1C3FEA3D" w14:textId="77777777" w:rsidR="00CF281A" w:rsidRPr="00730CC1" w:rsidRDefault="00CF281A" w:rsidP="00B7523B">
      <w:pPr>
        <w:jc w:val="both"/>
        <w:rPr>
          <w:sz w:val="22"/>
        </w:rPr>
      </w:pPr>
    </w:p>
    <w:p w14:paraId="42989CFE" w14:textId="0E9D404A" w:rsidR="00596FDB" w:rsidRPr="00730CC1" w:rsidRDefault="006D6B40" w:rsidP="00440F15">
      <w:pPr>
        <w:pStyle w:val="Caption"/>
        <w:ind w:left="363"/>
        <w:rPr>
          <w:b w:val="0"/>
        </w:rPr>
      </w:pPr>
      <w:r>
        <w:fldChar w:fldCharType="begin"/>
      </w:r>
      <w:r>
        <w:instrText xml:space="preserve"> SEQ Table \* ARABIC </w:instrText>
      </w:r>
      <w:r>
        <w:fldChar w:fldCharType="separate"/>
      </w:r>
      <w:bookmarkStart w:id="2" w:name="_Toc383493702"/>
      <w:r w:rsidR="002178EE">
        <w:rPr>
          <w:noProof/>
        </w:rPr>
        <w:t>2</w:t>
      </w:r>
      <w:r>
        <w:rPr>
          <w:noProof/>
        </w:rPr>
        <w:fldChar w:fldCharType="end"/>
      </w:r>
      <w:r w:rsidR="00596FDB" w:rsidRPr="00730CC1">
        <w:t xml:space="preserve"> lentelė. Skurdo rizikos lygis 2011</w:t>
      </w:r>
      <w:r w:rsidR="00547417">
        <w:t>–</w:t>
      </w:r>
      <w:r w:rsidR="00596FDB" w:rsidRPr="00730CC1">
        <w:t>2012 metais (proc.)</w:t>
      </w:r>
      <w:r w:rsidR="00596FDB" w:rsidRPr="00730CC1">
        <w:rPr>
          <w:b w:val="0"/>
        </w:rPr>
        <w:t>.</w:t>
      </w:r>
      <w:bookmarkEnd w:id="2"/>
      <w:r w:rsidR="00596FDB" w:rsidRPr="00730CC1">
        <w:rPr>
          <w:b w:val="0"/>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812"/>
        <w:gridCol w:w="812"/>
        <w:gridCol w:w="3836"/>
        <w:gridCol w:w="900"/>
        <w:gridCol w:w="810"/>
      </w:tblGrid>
      <w:tr w:rsidR="00596FDB" w:rsidRPr="00730CC1" w14:paraId="6B734D2B" w14:textId="77777777" w:rsidTr="00440F15">
        <w:tc>
          <w:tcPr>
            <w:tcW w:w="2536" w:type="dxa"/>
            <w:shd w:val="clear" w:color="auto" w:fill="00505E"/>
          </w:tcPr>
          <w:p w14:paraId="73CB90A4" w14:textId="77777777" w:rsidR="00596FDB" w:rsidRPr="00730CC1" w:rsidRDefault="00596FDB" w:rsidP="00F43244">
            <w:pPr>
              <w:tabs>
                <w:tab w:val="center" w:pos="4819"/>
                <w:tab w:val="right" w:pos="9638"/>
              </w:tabs>
              <w:contextualSpacing/>
              <w:rPr>
                <w:b/>
                <w:sz w:val="20"/>
                <w:szCs w:val="20"/>
              </w:rPr>
            </w:pPr>
            <w:r w:rsidRPr="00730CC1">
              <w:rPr>
                <w:b/>
                <w:sz w:val="20"/>
                <w:szCs w:val="20"/>
              </w:rPr>
              <w:t>Pagal gyvenamąją vietą</w:t>
            </w:r>
          </w:p>
        </w:tc>
        <w:tc>
          <w:tcPr>
            <w:tcW w:w="812" w:type="dxa"/>
            <w:shd w:val="clear" w:color="auto" w:fill="00505E"/>
          </w:tcPr>
          <w:p w14:paraId="6378D1A5" w14:textId="77777777" w:rsidR="00596FDB" w:rsidRPr="00730CC1" w:rsidRDefault="00596FDB" w:rsidP="00F43244">
            <w:pPr>
              <w:tabs>
                <w:tab w:val="center" w:pos="4819"/>
                <w:tab w:val="right" w:pos="9638"/>
              </w:tabs>
              <w:contextualSpacing/>
              <w:rPr>
                <w:b/>
                <w:sz w:val="20"/>
                <w:szCs w:val="20"/>
              </w:rPr>
            </w:pPr>
            <w:r w:rsidRPr="00730CC1">
              <w:rPr>
                <w:b/>
                <w:sz w:val="20"/>
                <w:szCs w:val="20"/>
              </w:rPr>
              <w:t>2011</w:t>
            </w:r>
          </w:p>
        </w:tc>
        <w:tc>
          <w:tcPr>
            <w:tcW w:w="812" w:type="dxa"/>
            <w:shd w:val="clear" w:color="auto" w:fill="00505E"/>
          </w:tcPr>
          <w:p w14:paraId="2D0FA0B4" w14:textId="77777777" w:rsidR="00596FDB" w:rsidRPr="00730CC1" w:rsidRDefault="00596FDB" w:rsidP="00F43244">
            <w:pPr>
              <w:tabs>
                <w:tab w:val="center" w:pos="4819"/>
                <w:tab w:val="right" w:pos="9638"/>
              </w:tabs>
              <w:contextualSpacing/>
              <w:rPr>
                <w:b/>
                <w:sz w:val="20"/>
                <w:szCs w:val="20"/>
              </w:rPr>
            </w:pPr>
            <w:r w:rsidRPr="00730CC1">
              <w:rPr>
                <w:b/>
                <w:sz w:val="20"/>
                <w:szCs w:val="20"/>
              </w:rPr>
              <w:t>2012</w:t>
            </w:r>
          </w:p>
        </w:tc>
        <w:tc>
          <w:tcPr>
            <w:tcW w:w="3836" w:type="dxa"/>
            <w:shd w:val="clear" w:color="auto" w:fill="00505E"/>
          </w:tcPr>
          <w:p w14:paraId="4B94D33C" w14:textId="77777777" w:rsidR="00596FDB" w:rsidRPr="00730CC1" w:rsidRDefault="00596FDB" w:rsidP="00F43244">
            <w:pPr>
              <w:tabs>
                <w:tab w:val="center" w:pos="4819"/>
                <w:tab w:val="right" w:pos="9638"/>
              </w:tabs>
              <w:contextualSpacing/>
              <w:rPr>
                <w:b/>
                <w:sz w:val="20"/>
                <w:szCs w:val="20"/>
              </w:rPr>
            </w:pPr>
            <w:r w:rsidRPr="00730CC1">
              <w:rPr>
                <w:b/>
                <w:sz w:val="20"/>
                <w:szCs w:val="20"/>
              </w:rPr>
              <w:t xml:space="preserve">Pagal užimtumo statusą  </w:t>
            </w:r>
          </w:p>
        </w:tc>
        <w:tc>
          <w:tcPr>
            <w:tcW w:w="900" w:type="dxa"/>
            <w:shd w:val="clear" w:color="auto" w:fill="00505E"/>
          </w:tcPr>
          <w:p w14:paraId="27788754" w14:textId="77777777" w:rsidR="00596FDB" w:rsidRPr="00730CC1" w:rsidRDefault="00596FDB" w:rsidP="00F43244">
            <w:pPr>
              <w:tabs>
                <w:tab w:val="center" w:pos="4819"/>
                <w:tab w:val="right" w:pos="9638"/>
              </w:tabs>
              <w:contextualSpacing/>
              <w:rPr>
                <w:b/>
                <w:sz w:val="20"/>
                <w:szCs w:val="20"/>
              </w:rPr>
            </w:pPr>
            <w:r w:rsidRPr="00730CC1">
              <w:rPr>
                <w:b/>
                <w:sz w:val="20"/>
                <w:szCs w:val="20"/>
              </w:rPr>
              <w:t>2011</w:t>
            </w:r>
          </w:p>
        </w:tc>
        <w:tc>
          <w:tcPr>
            <w:tcW w:w="810" w:type="dxa"/>
            <w:shd w:val="clear" w:color="auto" w:fill="00505E"/>
          </w:tcPr>
          <w:p w14:paraId="55EC75E2" w14:textId="77777777" w:rsidR="00596FDB" w:rsidRPr="00730CC1" w:rsidRDefault="00596FDB" w:rsidP="00F43244">
            <w:pPr>
              <w:tabs>
                <w:tab w:val="center" w:pos="4819"/>
                <w:tab w:val="right" w:pos="9638"/>
              </w:tabs>
              <w:contextualSpacing/>
              <w:rPr>
                <w:b/>
                <w:sz w:val="20"/>
                <w:szCs w:val="20"/>
              </w:rPr>
            </w:pPr>
            <w:r w:rsidRPr="00730CC1">
              <w:rPr>
                <w:b/>
                <w:sz w:val="20"/>
                <w:szCs w:val="20"/>
              </w:rPr>
              <w:t>2012</w:t>
            </w:r>
          </w:p>
        </w:tc>
      </w:tr>
      <w:tr w:rsidR="00596FDB" w:rsidRPr="00730CC1" w14:paraId="74FE9969" w14:textId="77777777" w:rsidTr="00440F15">
        <w:tc>
          <w:tcPr>
            <w:tcW w:w="2536" w:type="dxa"/>
            <w:shd w:val="clear" w:color="auto" w:fill="F6E2A3"/>
          </w:tcPr>
          <w:p w14:paraId="4164644E" w14:textId="77777777" w:rsidR="00596FDB" w:rsidRPr="00730CC1" w:rsidRDefault="00596FDB" w:rsidP="00F43244">
            <w:pPr>
              <w:tabs>
                <w:tab w:val="center" w:pos="4819"/>
                <w:tab w:val="right" w:pos="9638"/>
              </w:tabs>
              <w:contextualSpacing/>
              <w:rPr>
                <w:sz w:val="20"/>
                <w:szCs w:val="20"/>
              </w:rPr>
            </w:pPr>
            <w:r w:rsidRPr="00730CC1">
              <w:rPr>
                <w:sz w:val="20"/>
                <w:szCs w:val="20"/>
              </w:rPr>
              <w:t xml:space="preserve">Miesto gyventojai:                               </w:t>
            </w:r>
          </w:p>
        </w:tc>
        <w:tc>
          <w:tcPr>
            <w:tcW w:w="812" w:type="dxa"/>
            <w:shd w:val="clear" w:color="auto" w:fill="F6E2A3"/>
          </w:tcPr>
          <w:p w14:paraId="4368DD93" w14:textId="77777777" w:rsidR="00596FDB" w:rsidRPr="00730CC1" w:rsidRDefault="00596FDB" w:rsidP="00F43244">
            <w:pPr>
              <w:tabs>
                <w:tab w:val="center" w:pos="4819"/>
                <w:tab w:val="right" w:pos="9638"/>
              </w:tabs>
              <w:contextualSpacing/>
              <w:rPr>
                <w:sz w:val="20"/>
                <w:szCs w:val="20"/>
              </w:rPr>
            </w:pPr>
            <w:r w:rsidRPr="00730CC1">
              <w:rPr>
                <w:sz w:val="20"/>
                <w:szCs w:val="20"/>
              </w:rPr>
              <w:t>14,7</w:t>
            </w:r>
          </w:p>
        </w:tc>
        <w:tc>
          <w:tcPr>
            <w:tcW w:w="812" w:type="dxa"/>
            <w:shd w:val="clear" w:color="auto" w:fill="F6E2A3"/>
          </w:tcPr>
          <w:p w14:paraId="2909370E" w14:textId="77777777" w:rsidR="00596FDB" w:rsidRPr="00730CC1" w:rsidRDefault="00596FDB" w:rsidP="00F43244">
            <w:pPr>
              <w:tabs>
                <w:tab w:val="center" w:pos="4819"/>
                <w:tab w:val="right" w:pos="9638"/>
              </w:tabs>
              <w:contextualSpacing/>
              <w:rPr>
                <w:sz w:val="20"/>
                <w:szCs w:val="20"/>
              </w:rPr>
            </w:pPr>
            <w:r w:rsidRPr="00730CC1">
              <w:rPr>
                <w:sz w:val="20"/>
                <w:szCs w:val="20"/>
              </w:rPr>
              <w:t>13,7</w:t>
            </w:r>
          </w:p>
        </w:tc>
        <w:tc>
          <w:tcPr>
            <w:tcW w:w="3836" w:type="dxa"/>
            <w:shd w:val="clear" w:color="auto" w:fill="F6E2A3"/>
          </w:tcPr>
          <w:p w14:paraId="6191E814" w14:textId="77777777" w:rsidR="00596FDB" w:rsidRPr="00730CC1" w:rsidRDefault="00596FDB" w:rsidP="00F43244">
            <w:pPr>
              <w:tabs>
                <w:tab w:val="center" w:pos="4819"/>
                <w:tab w:val="right" w:pos="9638"/>
              </w:tabs>
              <w:contextualSpacing/>
              <w:rPr>
                <w:b/>
                <w:sz w:val="20"/>
                <w:szCs w:val="20"/>
              </w:rPr>
            </w:pPr>
            <w:r w:rsidRPr="00730CC1">
              <w:rPr>
                <w:sz w:val="20"/>
                <w:szCs w:val="20"/>
              </w:rPr>
              <w:t>Dirbantieji</w:t>
            </w:r>
          </w:p>
        </w:tc>
        <w:tc>
          <w:tcPr>
            <w:tcW w:w="900" w:type="dxa"/>
            <w:shd w:val="clear" w:color="auto" w:fill="F6E2A3"/>
          </w:tcPr>
          <w:p w14:paraId="358138DC" w14:textId="77777777" w:rsidR="00596FDB" w:rsidRPr="00730CC1" w:rsidRDefault="00596FDB" w:rsidP="00F43244">
            <w:pPr>
              <w:tabs>
                <w:tab w:val="center" w:pos="4819"/>
                <w:tab w:val="right" w:pos="9638"/>
              </w:tabs>
              <w:contextualSpacing/>
              <w:jc w:val="center"/>
              <w:rPr>
                <w:sz w:val="20"/>
                <w:szCs w:val="20"/>
              </w:rPr>
            </w:pPr>
            <w:r w:rsidRPr="00730CC1">
              <w:rPr>
                <w:sz w:val="20"/>
                <w:szCs w:val="20"/>
              </w:rPr>
              <w:t>10,2</w:t>
            </w:r>
          </w:p>
        </w:tc>
        <w:tc>
          <w:tcPr>
            <w:tcW w:w="810" w:type="dxa"/>
            <w:shd w:val="clear" w:color="auto" w:fill="F6E2A3"/>
          </w:tcPr>
          <w:p w14:paraId="396F117C" w14:textId="77777777" w:rsidR="00596FDB" w:rsidRPr="00730CC1" w:rsidRDefault="00596FDB" w:rsidP="00F43244">
            <w:pPr>
              <w:tabs>
                <w:tab w:val="center" w:pos="4819"/>
                <w:tab w:val="right" w:pos="9638"/>
              </w:tabs>
              <w:contextualSpacing/>
              <w:rPr>
                <w:sz w:val="20"/>
                <w:szCs w:val="20"/>
              </w:rPr>
            </w:pPr>
            <w:r w:rsidRPr="00730CC1">
              <w:rPr>
                <w:sz w:val="20"/>
                <w:szCs w:val="20"/>
              </w:rPr>
              <w:t>7,6</w:t>
            </w:r>
          </w:p>
        </w:tc>
      </w:tr>
      <w:tr w:rsidR="00596FDB" w:rsidRPr="00730CC1" w14:paraId="6CCEFC8B" w14:textId="77777777" w:rsidTr="00440F15">
        <w:tc>
          <w:tcPr>
            <w:tcW w:w="2536" w:type="dxa"/>
          </w:tcPr>
          <w:p w14:paraId="66504967" w14:textId="77777777" w:rsidR="00596FDB" w:rsidRPr="00730CC1" w:rsidRDefault="00596FDB" w:rsidP="00F43244">
            <w:pPr>
              <w:tabs>
                <w:tab w:val="center" w:pos="4819"/>
                <w:tab w:val="right" w:pos="9638"/>
              </w:tabs>
              <w:contextualSpacing/>
              <w:rPr>
                <w:sz w:val="20"/>
                <w:szCs w:val="20"/>
              </w:rPr>
            </w:pPr>
            <w:r w:rsidRPr="00730CC1">
              <w:rPr>
                <w:sz w:val="20"/>
                <w:szCs w:val="20"/>
              </w:rPr>
              <w:t xml:space="preserve">Didieji miestai:                                    </w:t>
            </w:r>
          </w:p>
        </w:tc>
        <w:tc>
          <w:tcPr>
            <w:tcW w:w="812" w:type="dxa"/>
          </w:tcPr>
          <w:p w14:paraId="311CE2CA" w14:textId="77777777" w:rsidR="00596FDB" w:rsidRPr="00730CC1" w:rsidRDefault="00596FDB" w:rsidP="00F43244">
            <w:pPr>
              <w:tabs>
                <w:tab w:val="center" w:pos="4819"/>
                <w:tab w:val="right" w:pos="9638"/>
              </w:tabs>
              <w:contextualSpacing/>
              <w:rPr>
                <w:sz w:val="20"/>
                <w:szCs w:val="20"/>
              </w:rPr>
            </w:pPr>
            <w:r w:rsidRPr="00730CC1">
              <w:rPr>
                <w:sz w:val="20"/>
                <w:szCs w:val="20"/>
              </w:rPr>
              <w:t>14,1</w:t>
            </w:r>
          </w:p>
        </w:tc>
        <w:tc>
          <w:tcPr>
            <w:tcW w:w="812" w:type="dxa"/>
          </w:tcPr>
          <w:p w14:paraId="3C352837" w14:textId="77777777" w:rsidR="00596FDB" w:rsidRPr="00730CC1" w:rsidRDefault="00596FDB" w:rsidP="00F43244">
            <w:pPr>
              <w:tabs>
                <w:tab w:val="center" w:pos="4819"/>
                <w:tab w:val="right" w:pos="9638"/>
              </w:tabs>
              <w:contextualSpacing/>
              <w:rPr>
                <w:sz w:val="20"/>
                <w:szCs w:val="20"/>
              </w:rPr>
            </w:pPr>
            <w:r w:rsidRPr="00730CC1">
              <w:rPr>
                <w:sz w:val="20"/>
                <w:szCs w:val="20"/>
              </w:rPr>
              <w:t>11,3</w:t>
            </w:r>
          </w:p>
        </w:tc>
        <w:tc>
          <w:tcPr>
            <w:tcW w:w="3836" w:type="dxa"/>
          </w:tcPr>
          <w:p w14:paraId="5E548EBC" w14:textId="77777777" w:rsidR="00596FDB" w:rsidRPr="00730CC1" w:rsidRDefault="00596FDB" w:rsidP="00F43244">
            <w:pPr>
              <w:tabs>
                <w:tab w:val="center" w:pos="4819"/>
                <w:tab w:val="right" w:pos="9638"/>
              </w:tabs>
              <w:contextualSpacing/>
              <w:rPr>
                <w:b/>
                <w:sz w:val="20"/>
                <w:szCs w:val="20"/>
              </w:rPr>
            </w:pPr>
            <w:r w:rsidRPr="00730CC1">
              <w:rPr>
                <w:sz w:val="20"/>
                <w:szCs w:val="20"/>
              </w:rPr>
              <w:t>Bedarbiai</w:t>
            </w:r>
          </w:p>
        </w:tc>
        <w:tc>
          <w:tcPr>
            <w:tcW w:w="900" w:type="dxa"/>
          </w:tcPr>
          <w:p w14:paraId="6CF4AA72" w14:textId="77777777" w:rsidR="00596FDB" w:rsidRPr="00730CC1" w:rsidRDefault="00596FDB" w:rsidP="00F43244">
            <w:pPr>
              <w:tabs>
                <w:tab w:val="center" w:pos="4819"/>
                <w:tab w:val="right" w:pos="9638"/>
              </w:tabs>
              <w:contextualSpacing/>
              <w:jc w:val="center"/>
              <w:rPr>
                <w:sz w:val="20"/>
                <w:szCs w:val="20"/>
              </w:rPr>
            </w:pPr>
            <w:r w:rsidRPr="00730CC1">
              <w:rPr>
                <w:sz w:val="20"/>
                <w:szCs w:val="20"/>
              </w:rPr>
              <w:t>53,9</w:t>
            </w:r>
          </w:p>
        </w:tc>
        <w:tc>
          <w:tcPr>
            <w:tcW w:w="810" w:type="dxa"/>
          </w:tcPr>
          <w:p w14:paraId="013BC3B1" w14:textId="77777777" w:rsidR="00596FDB" w:rsidRPr="00730CC1" w:rsidRDefault="00596FDB" w:rsidP="00F43244">
            <w:pPr>
              <w:tabs>
                <w:tab w:val="center" w:pos="4819"/>
                <w:tab w:val="right" w:pos="9638"/>
              </w:tabs>
              <w:contextualSpacing/>
              <w:rPr>
                <w:sz w:val="20"/>
                <w:szCs w:val="20"/>
              </w:rPr>
            </w:pPr>
            <w:r w:rsidRPr="00730CC1">
              <w:rPr>
                <w:sz w:val="20"/>
                <w:szCs w:val="20"/>
              </w:rPr>
              <w:t>54,4</w:t>
            </w:r>
          </w:p>
        </w:tc>
      </w:tr>
      <w:tr w:rsidR="00596FDB" w:rsidRPr="00730CC1" w14:paraId="5295D515" w14:textId="77777777" w:rsidTr="00440F15">
        <w:trPr>
          <w:trHeight w:val="345"/>
        </w:trPr>
        <w:tc>
          <w:tcPr>
            <w:tcW w:w="2536" w:type="dxa"/>
            <w:shd w:val="clear" w:color="auto" w:fill="F6E2A3"/>
          </w:tcPr>
          <w:p w14:paraId="5BBB56E2" w14:textId="77777777" w:rsidR="00596FDB" w:rsidRPr="00730CC1" w:rsidRDefault="00596FDB" w:rsidP="00F43244">
            <w:pPr>
              <w:tabs>
                <w:tab w:val="center" w:pos="4819"/>
                <w:tab w:val="right" w:pos="9638"/>
              </w:tabs>
              <w:contextualSpacing/>
              <w:rPr>
                <w:sz w:val="20"/>
                <w:szCs w:val="20"/>
              </w:rPr>
            </w:pPr>
            <w:r w:rsidRPr="00730CC1">
              <w:rPr>
                <w:sz w:val="20"/>
                <w:szCs w:val="20"/>
              </w:rPr>
              <w:t xml:space="preserve">Kiti miestai   </w:t>
            </w:r>
          </w:p>
        </w:tc>
        <w:tc>
          <w:tcPr>
            <w:tcW w:w="812" w:type="dxa"/>
            <w:shd w:val="clear" w:color="auto" w:fill="F6E2A3"/>
          </w:tcPr>
          <w:p w14:paraId="3D01012E" w14:textId="77777777" w:rsidR="00596FDB" w:rsidRPr="00730CC1" w:rsidRDefault="00596FDB" w:rsidP="00F43244">
            <w:pPr>
              <w:tabs>
                <w:tab w:val="center" w:pos="4819"/>
                <w:tab w:val="right" w:pos="9638"/>
              </w:tabs>
              <w:contextualSpacing/>
              <w:rPr>
                <w:sz w:val="20"/>
                <w:szCs w:val="20"/>
              </w:rPr>
            </w:pPr>
            <w:r w:rsidRPr="00730CC1">
              <w:rPr>
                <w:sz w:val="20"/>
                <w:szCs w:val="20"/>
              </w:rPr>
              <w:t xml:space="preserve">17.9                                </w:t>
            </w:r>
          </w:p>
        </w:tc>
        <w:tc>
          <w:tcPr>
            <w:tcW w:w="812" w:type="dxa"/>
            <w:shd w:val="clear" w:color="auto" w:fill="F6E2A3"/>
          </w:tcPr>
          <w:p w14:paraId="6A971CD2" w14:textId="77777777" w:rsidR="00596FDB" w:rsidRPr="00730CC1" w:rsidRDefault="00596FDB" w:rsidP="00F43244">
            <w:pPr>
              <w:tabs>
                <w:tab w:val="center" w:pos="4819"/>
                <w:tab w:val="right" w:pos="9638"/>
              </w:tabs>
              <w:contextualSpacing/>
              <w:rPr>
                <w:sz w:val="20"/>
                <w:szCs w:val="20"/>
              </w:rPr>
            </w:pPr>
            <w:r w:rsidRPr="00730CC1">
              <w:rPr>
                <w:sz w:val="20"/>
                <w:szCs w:val="20"/>
              </w:rPr>
              <w:t>17,3</w:t>
            </w:r>
          </w:p>
        </w:tc>
        <w:tc>
          <w:tcPr>
            <w:tcW w:w="3836" w:type="dxa"/>
            <w:shd w:val="clear" w:color="auto" w:fill="F6E2A3"/>
          </w:tcPr>
          <w:p w14:paraId="42399FB2" w14:textId="77777777" w:rsidR="00596FDB" w:rsidRPr="00730CC1" w:rsidRDefault="00596FDB" w:rsidP="00F43244">
            <w:pPr>
              <w:tabs>
                <w:tab w:val="center" w:pos="4819"/>
                <w:tab w:val="right" w:pos="9638"/>
              </w:tabs>
              <w:contextualSpacing/>
              <w:rPr>
                <w:b/>
                <w:sz w:val="20"/>
                <w:szCs w:val="20"/>
              </w:rPr>
            </w:pPr>
            <w:r w:rsidRPr="00730CC1">
              <w:rPr>
                <w:sz w:val="20"/>
                <w:szCs w:val="20"/>
              </w:rPr>
              <w:t>Pensininkai</w:t>
            </w:r>
          </w:p>
        </w:tc>
        <w:tc>
          <w:tcPr>
            <w:tcW w:w="900" w:type="dxa"/>
            <w:shd w:val="clear" w:color="auto" w:fill="F6E2A3"/>
          </w:tcPr>
          <w:p w14:paraId="37B04FB9" w14:textId="77777777" w:rsidR="00596FDB" w:rsidRPr="00730CC1" w:rsidRDefault="00596FDB" w:rsidP="00F43244">
            <w:pPr>
              <w:tabs>
                <w:tab w:val="center" w:pos="4819"/>
                <w:tab w:val="right" w:pos="9638"/>
              </w:tabs>
              <w:contextualSpacing/>
              <w:jc w:val="center"/>
              <w:rPr>
                <w:sz w:val="20"/>
                <w:szCs w:val="20"/>
              </w:rPr>
            </w:pPr>
            <w:r w:rsidRPr="00730CC1">
              <w:rPr>
                <w:sz w:val="20"/>
                <w:szCs w:val="20"/>
              </w:rPr>
              <w:t>13,1</w:t>
            </w:r>
          </w:p>
        </w:tc>
        <w:tc>
          <w:tcPr>
            <w:tcW w:w="810" w:type="dxa"/>
            <w:shd w:val="clear" w:color="auto" w:fill="F6E2A3"/>
          </w:tcPr>
          <w:p w14:paraId="01EF40CE" w14:textId="77777777" w:rsidR="00596FDB" w:rsidRPr="00730CC1" w:rsidRDefault="00596FDB" w:rsidP="00F43244">
            <w:pPr>
              <w:tabs>
                <w:tab w:val="center" w:pos="4819"/>
                <w:tab w:val="right" w:pos="9638"/>
              </w:tabs>
              <w:contextualSpacing/>
              <w:rPr>
                <w:sz w:val="20"/>
                <w:szCs w:val="20"/>
              </w:rPr>
            </w:pPr>
            <w:r w:rsidRPr="00730CC1">
              <w:rPr>
                <w:sz w:val="20"/>
                <w:szCs w:val="20"/>
              </w:rPr>
              <w:t>20,8</w:t>
            </w:r>
          </w:p>
        </w:tc>
      </w:tr>
      <w:tr w:rsidR="00596FDB" w:rsidRPr="00730CC1" w14:paraId="00075868" w14:textId="77777777" w:rsidTr="00440F15">
        <w:tc>
          <w:tcPr>
            <w:tcW w:w="2536" w:type="dxa"/>
            <w:tcBorders>
              <w:bottom w:val="single" w:sz="4" w:space="0" w:color="auto"/>
            </w:tcBorders>
          </w:tcPr>
          <w:p w14:paraId="591C73F3" w14:textId="77777777" w:rsidR="00596FDB" w:rsidRPr="00730CC1" w:rsidRDefault="00596FDB" w:rsidP="00F43244">
            <w:pPr>
              <w:tabs>
                <w:tab w:val="center" w:pos="4819"/>
                <w:tab w:val="right" w:pos="9638"/>
              </w:tabs>
              <w:contextualSpacing/>
              <w:rPr>
                <w:sz w:val="20"/>
                <w:szCs w:val="20"/>
              </w:rPr>
            </w:pPr>
            <w:r w:rsidRPr="00730CC1">
              <w:rPr>
                <w:sz w:val="20"/>
                <w:szCs w:val="20"/>
              </w:rPr>
              <w:t xml:space="preserve">Kaimas                                               </w:t>
            </w:r>
          </w:p>
        </w:tc>
        <w:tc>
          <w:tcPr>
            <w:tcW w:w="812" w:type="dxa"/>
            <w:tcBorders>
              <w:bottom w:val="single" w:sz="4" w:space="0" w:color="auto"/>
            </w:tcBorders>
          </w:tcPr>
          <w:p w14:paraId="339922A5" w14:textId="77777777" w:rsidR="00596FDB" w:rsidRPr="00730CC1" w:rsidRDefault="00596FDB" w:rsidP="00F43244">
            <w:pPr>
              <w:tabs>
                <w:tab w:val="center" w:pos="4819"/>
                <w:tab w:val="right" w:pos="9638"/>
              </w:tabs>
              <w:contextualSpacing/>
              <w:rPr>
                <w:sz w:val="20"/>
                <w:szCs w:val="20"/>
              </w:rPr>
            </w:pPr>
            <w:r w:rsidRPr="00730CC1">
              <w:rPr>
                <w:sz w:val="20"/>
                <w:szCs w:val="20"/>
              </w:rPr>
              <w:t>28,4</w:t>
            </w:r>
          </w:p>
        </w:tc>
        <w:tc>
          <w:tcPr>
            <w:tcW w:w="812" w:type="dxa"/>
            <w:tcBorders>
              <w:bottom w:val="single" w:sz="4" w:space="0" w:color="auto"/>
            </w:tcBorders>
          </w:tcPr>
          <w:p w14:paraId="14D2E6F7" w14:textId="77777777" w:rsidR="00596FDB" w:rsidRPr="00730CC1" w:rsidRDefault="00596FDB" w:rsidP="00F43244">
            <w:pPr>
              <w:tabs>
                <w:tab w:val="center" w:pos="4819"/>
                <w:tab w:val="right" w:pos="9638"/>
              </w:tabs>
              <w:contextualSpacing/>
              <w:rPr>
                <w:sz w:val="20"/>
                <w:szCs w:val="20"/>
              </w:rPr>
            </w:pPr>
            <w:r w:rsidRPr="00730CC1">
              <w:rPr>
                <w:sz w:val="20"/>
                <w:szCs w:val="20"/>
              </w:rPr>
              <w:t>28,5</w:t>
            </w:r>
          </w:p>
        </w:tc>
        <w:tc>
          <w:tcPr>
            <w:tcW w:w="3836" w:type="dxa"/>
            <w:tcBorders>
              <w:bottom w:val="single" w:sz="4" w:space="0" w:color="auto"/>
            </w:tcBorders>
          </w:tcPr>
          <w:p w14:paraId="79F34F18" w14:textId="77777777" w:rsidR="00596FDB" w:rsidRPr="00730CC1" w:rsidRDefault="00596FDB" w:rsidP="00F43244">
            <w:pPr>
              <w:tabs>
                <w:tab w:val="center" w:pos="4819"/>
                <w:tab w:val="right" w:pos="9638"/>
              </w:tabs>
              <w:contextualSpacing/>
              <w:rPr>
                <w:b/>
                <w:sz w:val="20"/>
                <w:szCs w:val="20"/>
              </w:rPr>
            </w:pPr>
            <w:r w:rsidRPr="00730CC1">
              <w:rPr>
                <w:sz w:val="20"/>
                <w:szCs w:val="20"/>
              </w:rPr>
              <w:t>Neaktyvūs gyventojai</w:t>
            </w:r>
          </w:p>
        </w:tc>
        <w:tc>
          <w:tcPr>
            <w:tcW w:w="900" w:type="dxa"/>
            <w:tcBorders>
              <w:bottom w:val="single" w:sz="4" w:space="0" w:color="auto"/>
            </w:tcBorders>
          </w:tcPr>
          <w:p w14:paraId="062E42DC" w14:textId="77777777" w:rsidR="00596FDB" w:rsidRPr="00730CC1" w:rsidRDefault="00596FDB" w:rsidP="00F43244">
            <w:pPr>
              <w:tabs>
                <w:tab w:val="center" w:pos="4819"/>
                <w:tab w:val="right" w:pos="9638"/>
              </w:tabs>
              <w:contextualSpacing/>
              <w:jc w:val="center"/>
              <w:rPr>
                <w:sz w:val="20"/>
                <w:szCs w:val="20"/>
              </w:rPr>
            </w:pPr>
            <w:r w:rsidRPr="00730CC1">
              <w:rPr>
                <w:sz w:val="20"/>
                <w:szCs w:val="20"/>
              </w:rPr>
              <w:t>28,3</w:t>
            </w:r>
          </w:p>
        </w:tc>
        <w:tc>
          <w:tcPr>
            <w:tcW w:w="810" w:type="dxa"/>
            <w:tcBorders>
              <w:bottom w:val="single" w:sz="4" w:space="0" w:color="auto"/>
            </w:tcBorders>
          </w:tcPr>
          <w:p w14:paraId="37C79E0E" w14:textId="77777777" w:rsidR="00596FDB" w:rsidRPr="00730CC1" w:rsidRDefault="00596FDB" w:rsidP="00F43244">
            <w:pPr>
              <w:tabs>
                <w:tab w:val="center" w:pos="4819"/>
                <w:tab w:val="right" w:pos="9638"/>
              </w:tabs>
              <w:contextualSpacing/>
              <w:rPr>
                <w:sz w:val="20"/>
                <w:szCs w:val="20"/>
              </w:rPr>
            </w:pPr>
            <w:r w:rsidRPr="00730CC1">
              <w:rPr>
                <w:sz w:val="20"/>
                <w:szCs w:val="20"/>
              </w:rPr>
              <w:t>24,5</w:t>
            </w:r>
          </w:p>
        </w:tc>
      </w:tr>
      <w:tr w:rsidR="00596FDB" w:rsidRPr="00730CC1" w14:paraId="3366FE8B" w14:textId="77777777" w:rsidTr="00440F15">
        <w:tc>
          <w:tcPr>
            <w:tcW w:w="2536" w:type="dxa"/>
            <w:shd w:val="clear" w:color="auto" w:fill="00505E"/>
          </w:tcPr>
          <w:p w14:paraId="34D72EAD" w14:textId="77777777" w:rsidR="00596FDB" w:rsidRPr="00730CC1" w:rsidRDefault="00596FDB" w:rsidP="00F43244">
            <w:pPr>
              <w:tabs>
                <w:tab w:val="center" w:pos="4819"/>
                <w:tab w:val="right" w:pos="9638"/>
              </w:tabs>
              <w:contextualSpacing/>
              <w:rPr>
                <w:b/>
                <w:sz w:val="20"/>
                <w:szCs w:val="20"/>
              </w:rPr>
            </w:pPr>
            <w:r w:rsidRPr="00730CC1">
              <w:rPr>
                <w:b/>
                <w:sz w:val="20"/>
                <w:szCs w:val="20"/>
              </w:rPr>
              <w:t xml:space="preserve">Pagal amžių                              </w:t>
            </w:r>
          </w:p>
        </w:tc>
        <w:tc>
          <w:tcPr>
            <w:tcW w:w="812" w:type="dxa"/>
            <w:shd w:val="clear" w:color="auto" w:fill="00505E"/>
          </w:tcPr>
          <w:p w14:paraId="3E2672B9" w14:textId="77777777" w:rsidR="00596FDB" w:rsidRPr="00730CC1" w:rsidRDefault="00596FDB" w:rsidP="00F43244">
            <w:pPr>
              <w:tabs>
                <w:tab w:val="center" w:pos="4819"/>
                <w:tab w:val="right" w:pos="9638"/>
              </w:tabs>
              <w:contextualSpacing/>
              <w:rPr>
                <w:b/>
                <w:sz w:val="20"/>
                <w:szCs w:val="20"/>
              </w:rPr>
            </w:pPr>
            <w:r w:rsidRPr="00730CC1">
              <w:rPr>
                <w:b/>
                <w:sz w:val="20"/>
                <w:szCs w:val="20"/>
              </w:rPr>
              <w:t xml:space="preserve">2011    </w:t>
            </w:r>
          </w:p>
        </w:tc>
        <w:tc>
          <w:tcPr>
            <w:tcW w:w="812" w:type="dxa"/>
            <w:shd w:val="clear" w:color="auto" w:fill="00505E"/>
          </w:tcPr>
          <w:p w14:paraId="640BFC72" w14:textId="77777777" w:rsidR="00596FDB" w:rsidRPr="00730CC1" w:rsidRDefault="00596FDB" w:rsidP="00F43244">
            <w:pPr>
              <w:tabs>
                <w:tab w:val="center" w:pos="4819"/>
                <w:tab w:val="right" w:pos="9638"/>
              </w:tabs>
              <w:contextualSpacing/>
              <w:rPr>
                <w:b/>
                <w:sz w:val="20"/>
                <w:szCs w:val="20"/>
              </w:rPr>
            </w:pPr>
            <w:r w:rsidRPr="00730CC1">
              <w:rPr>
                <w:b/>
                <w:sz w:val="20"/>
                <w:szCs w:val="20"/>
              </w:rPr>
              <w:t>2012</w:t>
            </w:r>
          </w:p>
        </w:tc>
        <w:tc>
          <w:tcPr>
            <w:tcW w:w="3836" w:type="dxa"/>
            <w:shd w:val="clear" w:color="auto" w:fill="00505E"/>
          </w:tcPr>
          <w:p w14:paraId="3AE08811" w14:textId="77777777" w:rsidR="00596FDB" w:rsidRPr="00730CC1" w:rsidRDefault="00596FDB" w:rsidP="00F43244">
            <w:pPr>
              <w:tabs>
                <w:tab w:val="center" w:pos="4819"/>
                <w:tab w:val="right" w:pos="9638"/>
              </w:tabs>
              <w:contextualSpacing/>
              <w:rPr>
                <w:b/>
                <w:sz w:val="20"/>
                <w:szCs w:val="20"/>
              </w:rPr>
            </w:pPr>
            <w:r w:rsidRPr="00730CC1">
              <w:rPr>
                <w:b/>
                <w:sz w:val="20"/>
                <w:szCs w:val="20"/>
              </w:rPr>
              <w:t xml:space="preserve">Pagal namų ūkio tipą                 </w:t>
            </w:r>
          </w:p>
        </w:tc>
        <w:tc>
          <w:tcPr>
            <w:tcW w:w="900" w:type="dxa"/>
            <w:shd w:val="clear" w:color="auto" w:fill="00505E"/>
          </w:tcPr>
          <w:p w14:paraId="52D0C82B" w14:textId="77777777" w:rsidR="00596FDB" w:rsidRPr="00730CC1" w:rsidRDefault="00596FDB" w:rsidP="00F43244">
            <w:pPr>
              <w:tabs>
                <w:tab w:val="center" w:pos="4819"/>
                <w:tab w:val="right" w:pos="9638"/>
              </w:tabs>
              <w:contextualSpacing/>
              <w:rPr>
                <w:b/>
                <w:sz w:val="20"/>
                <w:szCs w:val="20"/>
              </w:rPr>
            </w:pPr>
            <w:r w:rsidRPr="00730CC1">
              <w:rPr>
                <w:b/>
                <w:sz w:val="20"/>
                <w:szCs w:val="20"/>
              </w:rPr>
              <w:t>2011</w:t>
            </w:r>
          </w:p>
        </w:tc>
        <w:tc>
          <w:tcPr>
            <w:tcW w:w="810" w:type="dxa"/>
            <w:shd w:val="clear" w:color="auto" w:fill="00505E"/>
          </w:tcPr>
          <w:p w14:paraId="2E9C0B37" w14:textId="77777777" w:rsidR="00596FDB" w:rsidRPr="00730CC1" w:rsidRDefault="00596FDB" w:rsidP="00F43244">
            <w:pPr>
              <w:tabs>
                <w:tab w:val="center" w:pos="4819"/>
                <w:tab w:val="right" w:pos="9638"/>
              </w:tabs>
              <w:contextualSpacing/>
              <w:rPr>
                <w:b/>
                <w:sz w:val="20"/>
                <w:szCs w:val="20"/>
              </w:rPr>
            </w:pPr>
            <w:r w:rsidRPr="00730CC1">
              <w:rPr>
                <w:b/>
                <w:sz w:val="20"/>
                <w:szCs w:val="20"/>
              </w:rPr>
              <w:t>2012</w:t>
            </w:r>
          </w:p>
        </w:tc>
      </w:tr>
      <w:tr w:rsidR="00596FDB" w:rsidRPr="00730CC1" w14:paraId="6C98FF8B" w14:textId="77777777" w:rsidTr="00440F15">
        <w:tc>
          <w:tcPr>
            <w:tcW w:w="2536" w:type="dxa"/>
          </w:tcPr>
          <w:p w14:paraId="113FF1DE" w14:textId="558B69C3" w:rsidR="00596FDB" w:rsidRPr="00730CC1" w:rsidRDefault="00596FDB" w:rsidP="00F43244">
            <w:pPr>
              <w:tabs>
                <w:tab w:val="center" w:pos="4819"/>
                <w:tab w:val="right" w:pos="9638"/>
              </w:tabs>
              <w:contextualSpacing/>
              <w:rPr>
                <w:sz w:val="20"/>
                <w:szCs w:val="20"/>
              </w:rPr>
            </w:pPr>
            <w:r w:rsidRPr="00730CC1">
              <w:rPr>
                <w:sz w:val="20"/>
                <w:szCs w:val="20"/>
              </w:rPr>
              <w:t>Vaikai (0</w:t>
            </w:r>
            <w:r w:rsidR="00547417">
              <w:t>–</w:t>
            </w:r>
            <w:r w:rsidRPr="00730CC1">
              <w:rPr>
                <w:sz w:val="20"/>
                <w:szCs w:val="20"/>
              </w:rPr>
              <w:t xml:space="preserve">17metų)                               </w:t>
            </w:r>
          </w:p>
        </w:tc>
        <w:tc>
          <w:tcPr>
            <w:tcW w:w="812" w:type="dxa"/>
          </w:tcPr>
          <w:p w14:paraId="5D2E7D2E" w14:textId="77777777" w:rsidR="00596FDB" w:rsidRPr="00730CC1" w:rsidRDefault="00596FDB" w:rsidP="00F43244">
            <w:pPr>
              <w:tabs>
                <w:tab w:val="center" w:pos="4819"/>
                <w:tab w:val="right" w:pos="9638"/>
              </w:tabs>
              <w:contextualSpacing/>
              <w:rPr>
                <w:sz w:val="20"/>
                <w:szCs w:val="20"/>
              </w:rPr>
            </w:pPr>
            <w:r w:rsidRPr="00730CC1">
              <w:rPr>
                <w:sz w:val="20"/>
                <w:szCs w:val="20"/>
              </w:rPr>
              <w:t>28,7</w:t>
            </w:r>
          </w:p>
        </w:tc>
        <w:tc>
          <w:tcPr>
            <w:tcW w:w="812" w:type="dxa"/>
          </w:tcPr>
          <w:p w14:paraId="5B853C01" w14:textId="77777777" w:rsidR="00596FDB" w:rsidRPr="00730CC1" w:rsidRDefault="00596FDB" w:rsidP="00F43244">
            <w:pPr>
              <w:tabs>
                <w:tab w:val="center" w:pos="4819"/>
                <w:tab w:val="right" w:pos="9638"/>
              </w:tabs>
              <w:contextualSpacing/>
              <w:rPr>
                <w:sz w:val="20"/>
                <w:szCs w:val="20"/>
              </w:rPr>
            </w:pPr>
            <w:r w:rsidRPr="00730CC1">
              <w:rPr>
                <w:sz w:val="20"/>
                <w:szCs w:val="20"/>
              </w:rPr>
              <w:t>20,8</w:t>
            </w:r>
          </w:p>
        </w:tc>
        <w:tc>
          <w:tcPr>
            <w:tcW w:w="3836" w:type="dxa"/>
          </w:tcPr>
          <w:p w14:paraId="215BDA97" w14:textId="77777777" w:rsidR="00596FDB" w:rsidRPr="00730CC1" w:rsidRDefault="00596FDB" w:rsidP="00F43244">
            <w:pPr>
              <w:tabs>
                <w:tab w:val="center" w:pos="4819"/>
                <w:tab w:val="right" w:pos="9638"/>
              </w:tabs>
              <w:contextualSpacing/>
              <w:rPr>
                <w:sz w:val="20"/>
                <w:szCs w:val="20"/>
              </w:rPr>
            </w:pPr>
            <w:r w:rsidRPr="00730CC1">
              <w:rPr>
                <w:sz w:val="20"/>
                <w:szCs w:val="20"/>
              </w:rPr>
              <w:t>vienas gyvenantis asmuo</w:t>
            </w:r>
          </w:p>
        </w:tc>
        <w:tc>
          <w:tcPr>
            <w:tcW w:w="900" w:type="dxa"/>
          </w:tcPr>
          <w:p w14:paraId="5BDD9FBB" w14:textId="77777777" w:rsidR="00596FDB" w:rsidRPr="00730CC1" w:rsidRDefault="00596FDB" w:rsidP="00F43244">
            <w:pPr>
              <w:tabs>
                <w:tab w:val="center" w:pos="4819"/>
                <w:tab w:val="right" w:pos="9638"/>
              </w:tabs>
              <w:contextualSpacing/>
              <w:rPr>
                <w:sz w:val="20"/>
                <w:szCs w:val="20"/>
              </w:rPr>
            </w:pPr>
            <w:r w:rsidRPr="00730CC1">
              <w:rPr>
                <w:sz w:val="20"/>
                <w:szCs w:val="20"/>
              </w:rPr>
              <w:t xml:space="preserve">25,1 </w:t>
            </w:r>
          </w:p>
        </w:tc>
        <w:tc>
          <w:tcPr>
            <w:tcW w:w="810" w:type="dxa"/>
          </w:tcPr>
          <w:p w14:paraId="6045B0B5" w14:textId="77777777" w:rsidR="00596FDB" w:rsidRPr="00730CC1" w:rsidRDefault="00596FDB" w:rsidP="00F43244">
            <w:pPr>
              <w:tabs>
                <w:tab w:val="center" w:pos="4819"/>
                <w:tab w:val="right" w:pos="9638"/>
              </w:tabs>
              <w:contextualSpacing/>
              <w:rPr>
                <w:sz w:val="20"/>
                <w:szCs w:val="20"/>
              </w:rPr>
            </w:pPr>
            <w:r w:rsidRPr="00730CC1">
              <w:rPr>
                <w:sz w:val="20"/>
                <w:szCs w:val="20"/>
              </w:rPr>
              <w:t>31,6</w:t>
            </w:r>
          </w:p>
        </w:tc>
      </w:tr>
      <w:tr w:rsidR="00596FDB" w:rsidRPr="00730CC1" w14:paraId="3A908FCF" w14:textId="77777777" w:rsidTr="00440F15">
        <w:tc>
          <w:tcPr>
            <w:tcW w:w="2536" w:type="dxa"/>
            <w:shd w:val="clear" w:color="auto" w:fill="F6E2A3"/>
          </w:tcPr>
          <w:p w14:paraId="44907800" w14:textId="6065326F" w:rsidR="00596FDB" w:rsidRPr="00730CC1" w:rsidRDefault="00596FDB" w:rsidP="00F43244">
            <w:pPr>
              <w:tabs>
                <w:tab w:val="center" w:pos="4819"/>
                <w:tab w:val="right" w:pos="9638"/>
              </w:tabs>
              <w:contextualSpacing/>
              <w:rPr>
                <w:sz w:val="20"/>
                <w:szCs w:val="20"/>
              </w:rPr>
            </w:pPr>
            <w:r w:rsidRPr="00730CC1">
              <w:rPr>
                <w:sz w:val="20"/>
                <w:szCs w:val="20"/>
              </w:rPr>
              <w:t>18</w:t>
            </w:r>
            <w:r w:rsidR="00547417">
              <w:t>–</w:t>
            </w:r>
            <w:r w:rsidRPr="00730CC1">
              <w:rPr>
                <w:sz w:val="20"/>
                <w:szCs w:val="20"/>
              </w:rPr>
              <w:t xml:space="preserve">24 (darbingo amžiaus jaunimas)      </w:t>
            </w:r>
          </w:p>
        </w:tc>
        <w:tc>
          <w:tcPr>
            <w:tcW w:w="812" w:type="dxa"/>
            <w:shd w:val="clear" w:color="auto" w:fill="F6E2A3"/>
          </w:tcPr>
          <w:p w14:paraId="75585F41" w14:textId="77777777" w:rsidR="00596FDB" w:rsidRPr="00730CC1" w:rsidRDefault="00596FDB" w:rsidP="00F43244">
            <w:pPr>
              <w:tabs>
                <w:tab w:val="center" w:pos="4819"/>
                <w:tab w:val="right" w:pos="9638"/>
              </w:tabs>
              <w:contextualSpacing/>
              <w:rPr>
                <w:sz w:val="20"/>
                <w:szCs w:val="20"/>
              </w:rPr>
            </w:pPr>
            <w:r w:rsidRPr="00730CC1">
              <w:rPr>
                <w:sz w:val="20"/>
                <w:szCs w:val="20"/>
              </w:rPr>
              <w:t>24,8</w:t>
            </w:r>
          </w:p>
        </w:tc>
        <w:tc>
          <w:tcPr>
            <w:tcW w:w="812" w:type="dxa"/>
            <w:shd w:val="clear" w:color="auto" w:fill="F6E2A3"/>
          </w:tcPr>
          <w:p w14:paraId="5A4B36D9" w14:textId="77777777" w:rsidR="00596FDB" w:rsidRPr="00730CC1" w:rsidRDefault="00596FDB" w:rsidP="00F43244">
            <w:pPr>
              <w:tabs>
                <w:tab w:val="center" w:pos="4819"/>
                <w:tab w:val="right" w:pos="9638"/>
              </w:tabs>
              <w:contextualSpacing/>
              <w:rPr>
                <w:sz w:val="20"/>
                <w:szCs w:val="20"/>
              </w:rPr>
            </w:pPr>
            <w:r w:rsidRPr="00730CC1">
              <w:rPr>
                <w:sz w:val="20"/>
                <w:szCs w:val="20"/>
              </w:rPr>
              <w:t>20,2</w:t>
            </w:r>
          </w:p>
        </w:tc>
        <w:tc>
          <w:tcPr>
            <w:tcW w:w="3836" w:type="dxa"/>
            <w:shd w:val="clear" w:color="auto" w:fill="F6E2A3"/>
          </w:tcPr>
          <w:p w14:paraId="128414CD" w14:textId="77777777" w:rsidR="00596FDB" w:rsidRPr="00730CC1" w:rsidRDefault="00596FDB" w:rsidP="00F43244">
            <w:pPr>
              <w:tabs>
                <w:tab w:val="center" w:pos="4819"/>
                <w:tab w:val="right" w:pos="9638"/>
              </w:tabs>
              <w:contextualSpacing/>
              <w:rPr>
                <w:sz w:val="20"/>
                <w:szCs w:val="20"/>
              </w:rPr>
            </w:pPr>
            <w:r w:rsidRPr="00730CC1">
              <w:rPr>
                <w:sz w:val="20"/>
                <w:szCs w:val="20"/>
              </w:rPr>
              <w:t xml:space="preserve">du suaugę, jaunesni nei 65 metų asmenys be </w:t>
            </w:r>
          </w:p>
          <w:p w14:paraId="701EBA83" w14:textId="77777777" w:rsidR="00596FDB" w:rsidRPr="00730CC1" w:rsidRDefault="00596FDB" w:rsidP="00F43244">
            <w:pPr>
              <w:tabs>
                <w:tab w:val="center" w:pos="4819"/>
                <w:tab w:val="right" w:pos="9638"/>
              </w:tabs>
              <w:contextualSpacing/>
              <w:rPr>
                <w:sz w:val="20"/>
                <w:szCs w:val="20"/>
              </w:rPr>
            </w:pPr>
            <w:r w:rsidRPr="00730CC1">
              <w:rPr>
                <w:sz w:val="20"/>
                <w:szCs w:val="20"/>
              </w:rPr>
              <w:t xml:space="preserve">vaikų </w:t>
            </w:r>
          </w:p>
        </w:tc>
        <w:tc>
          <w:tcPr>
            <w:tcW w:w="900" w:type="dxa"/>
            <w:shd w:val="clear" w:color="auto" w:fill="F6E2A3"/>
          </w:tcPr>
          <w:p w14:paraId="65E61CB6" w14:textId="77777777" w:rsidR="00596FDB" w:rsidRPr="00730CC1" w:rsidRDefault="00596FDB" w:rsidP="00F43244">
            <w:pPr>
              <w:tabs>
                <w:tab w:val="center" w:pos="4819"/>
                <w:tab w:val="right" w:pos="9638"/>
              </w:tabs>
              <w:contextualSpacing/>
              <w:rPr>
                <w:sz w:val="20"/>
                <w:szCs w:val="20"/>
              </w:rPr>
            </w:pPr>
            <w:r w:rsidRPr="00730CC1">
              <w:rPr>
                <w:sz w:val="20"/>
                <w:szCs w:val="20"/>
              </w:rPr>
              <w:t>17,1</w:t>
            </w:r>
          </w:p>
        </w:tc>
        <w:tc>
          <w:tcPr>
            <w:tcW w:w="810" w:type="dxa"/>
            <w:shd w:val="clear" w:color="auto" w:fill="F6E2A3"/>
          </w:tcPr>
          <w:p w14:paraId="47E86C53" w14:textId="77777777" w:rsidR="00596FDB" w:rsidRPr="00730CC1" w:rsidRDefault="00596FDB" w:rsidP="00F43244">
            <w:pPr>
              <w:tabs>
                <w:tab w:val="center" w:pos="4819"/>
                <w:tab w:val="right" w:pos="9638"/>
              </w:tabs>
              <w:contextualSpacing/>
              <w:rPr>
                <w:sz w:val="20"/>
                <w:szCs w:val="20"/>
              </w:rPr>
            </w:pPr>
            <w:r w:rsidRPr="00730CC1">
              <w:rPr>
                <w:sz w:val="20"/>
                <w:szCs w:val="20"/>
              </w:rPr>
              <w:t>16,3</w:t>
            </w:r>
          </w:p>
        </w:tc>
      </w:tr>
      <w:tr w:rsidR="00596FDB" w:rsidRPr="00730CC1" w14:paraId="572A0A2B" w14:textId="77777777" w:rsidTr="00440F15">
        <w:tc>
          <w:tcPr>
            <w:tcW w:w="2536" w:type="dxa"/>
          </w:tcPr>
          <w:p w14:paraId="56E9C201" w14:textId="254CA8F0" w:rsidR="00596FDB" w:rsidRPr="00730CC1" w:rsidRDefault="00596FDB" w:rsidP="00F43244">
            <w:pPr>
              <w:tabs>
                <w:tab w:val="center" w:pos="4819"/>
                <w:tab w:val="right" w:pos="9638"/>
              </w:tabs>
              <w:contextualSpacing/>
              <w:rPr>
                <w:sz w:val="20"/>
                <w:szCs w:val="20"/>
              </w:rPr>
            </w:pPr>
            <w:r w:rsidRPr="00730CC1">
              <w:rPr>
                <w:sz w:val="20"/>
                <w:szCs w:val="20"/>
              </w:rPr>
              <w:t>25</w:t>
            </w:r>
            <w:r w:rsidR="00547417">
              <w:t>–</w:t>
            </w:r>
            <w:r w:rsidRPr="00730CC1">
              <w:rPr>
                <w:sz w:val="20"/>
                <w:szCs w:val="20"/>
              </w:rPr>
              <w:t xml:space="preserve">49 (darbingo amžiaus)                    </w:t>
            </w:r>
          </w:p>
        </w:tc>
        <w:tc>
          <w:tcPr>
            <w:tcW w:w="812" w:type="dxa"/>
          </w:tcPr>
          <w:p w14:paraId="60C476FB" w14:textId="77777777" w:rsidR="00596FDB" w:rsidRPr="00730CC1" w:rsidRDefault="00596FDB" w:rsidP="00F43244">
            <w:pPr>
              <w:tabs>
                <w:tab w:val="center" w:pos="4819"/>
                <w:tab w:val="right" w:pos="9638"/>
              </w:tabs>
              <w:contextualSpacing/>
              <w:rPr>
                <w:sz w:val="20"/>
                <w:szCs w:val="20"/>
              </w:rPr>
            </w:pPr>
            <w:r w:rsidRPr="00730CC1">
              <w:rPr>
                <w:sz w:val="20"/>
                <w:szCs w:val="20"/>
              </w:rPr>
              <w:t>30,1</w:t>
            </w:r>
          </w:p>
        </w:tc>
        <w:tc>
          <w:tcPr>
            <w:tcW w:w="812" w:type="dxa"/>
          </w:tcPr>
          <w:p w14:paraId="6C15541F" w14:textId="77777777" w:rsidR="00596FDB" w:rsidRPr="00730CC1" w:rsidRDefault="00596FDB" w:rsidP="00F43244">
            <w:pPr>
              <w:tabs>
                <w:tab w:val="center" w:pos="4819"/>
                <w:tab w:val="right" w:pos="9638"/>
              </w:tabs>
              <w:contextualSpacing/>
              <w:rPr>
                <w:sz w:val="20"/>
                <w:szCs w:val="20"/>
              </w:rPr>
            </w:pPr>
            <w:r w:rsidRPr="00730CC1">
              <w:rPr>
                <w:sz w:val="20"/>
                <w:szCs w:val="20"/>
              </w:rPr>
              <w:t>17,9</w:t>
            </w:r>
          </w:p>
        </w:tc>
        <w:tc>
          <w:tcPr>
            <w:tcW w:w="3836" w:type="dxa"/>
          </w:tcPr>
          <w:p w14:paraId="09491A68" w14:textId="77777777" w:rsidR="00596FDB" w:rsidRPr="00730CC1" w:rsidRDefault="00596FDB" w:rsidP="00F43244">
            <w:pPr>
              <w:tabs>
                <w:tab w:val="center" w:pos="4819"/>
                <w:tab w:val="right" w:pos="9638"/>
              </w:tabs>
              <w:contextualSpacing/>
              <w:rPr>
                <w:sz w:val="20"/>
                <w:szCs w:val="20"/>
              </w:rPr>
            </w:pPr>
            <w:r w:rsidRPr="00730CC1">
              <w:rPr>
                <w:sz w:val="20"/>
                <w:szCs w:val="20"/>
              </w:rPr>
              <w:t xml:space="preserve">du suaugę asmenys, bent vienas 65 metų ar vyresnis, be vaikų </w:t>
            </w:r>
          </w:p>
        </w:tc>
        <w:tc>
          <w:tcPr>
            <w:tcW w:w="900" w:type="dxa"/>
          </w:tcPr>
          <w:p w14:paraId="5486C5E5" w14:textId="77777777" w:rsidR="00596FDB" w:rsidRPr="00730CC1" w:rsidRDefault="00596FDB" w:rsidP="00F43244">
            <w:pPr>
              <w:tabs>
                <w:tab w:val="center" w:pos="4819"/>
                <w:tab w:val="right" w:pos="9638"/>
              </w:tabs>
              <w:contextualSpacing/>
              <w:rPr>
                <w:sz w:val="20"/>
                <w:szCs w:val="20"/>
              </w:rPr>
            </w:pPr>
            <w:r w:rsidRPr="00730CC1">
              <w:rPr>
                <w:sz w:val="20"/>
                <w:szCs w:val="20"/>
              </w:rPr>
              <w:t>6,</w:t>
            </w:r>
            <w:proofErr w:type="spellStart"/>
            <w:r w:rsidRPr="00730CC1">
              <w:rPr>
                <w:sz w:val="20"/>
                <w:szCs w:val="20"/>
              </w:rPr>
              <w:t>6</w:t>
            </w:r>
            <w:proofErr w:type="spellEnd"/>
            <w:r w:rsidRPr="00730CC1">
              <w:rPr>
                <w:sz w:val="20"/>
                <w:szCs w:val="20"/>
              </w:rPr>
              <w:t xml:space="preserve"> </w:t>
            </w:r>
          </w:p>
        </w:tc>
        <w:tc>
          <w:tcPr>
            <w:tcW w:w="810" w:type="dxa"/>
          </w:tcPr>
          <w:p w14:paraId="5162D249" w14:textId="77777777" w:rsidR="00596FDB" w:rsidRPr="00730CC1" w:rsidRDefault="00596FDB" w:rsidP="00F43244">
            <w:pPr>
              <w:tabs>
                <w:tab w:val="center" w:pos="4819"/>
                <w:tab w:val="right" w:pos="9638"/>
              </w:tabs>
              <w:contextualSpacing/>
              <w:rPr>
                <w:sz w:val="20"/>
                <w:szCs w:val="20"/>
              </w:rPr>
            </w:pPr>
            <w:r w:rsidRPr="00730CC1">
              <w:rPr>
                <w:sz w:val="20"/>
                <w:szCs w:val="20"/>
              </w:rPr>
              <w:t>7,6</w:t>
            </w:r>
          </w:p>
        </w:tc>
      </w:tr>
      <w:tr w:rsidR="00596FDB" w:rsidRPr="00730CC1" w14:paraId="7ADC8DA8" w14:textId="77777777" w:rsidTr="00440F15">
        <w:tc>
          <w:tcPr>
            <w:tcW w:w="2536" w:type="dxa"/>
            <w:shd w:val="clear" w:color="auto" w:fill="F6E2A3"/>
          </w:tcPr>
          <w:p w14:paraId="02D4F0B0" w14:textId="08F9C626" w:rsidR="00596FDB" w:rsidRPr="00730CC1" w:rsidRDefault="00596FDB" w:rsidP="00F43244">
            <w:pPr>
              <w:tabs>
                <w:tab w:val="center" w:pos="4819"/>
                <w:tab w:val="right" w:pos="9638"/>
              </w:tabs>
              <w:contextualSpacing/>
              <w:rPr>
                <w:sz w:val="20"/>
                <w:szCs w:val="20"/>
              </w:rPr>
            </w:pPr>
            <w:r w:rsidRPr="00730CC1">
              <w:rPr>
                <w:sz w:val="20"/>
                <w:szCs w:val="20"/>
              </w:rPr>
              <w:t>50</w:t>
            </w:r>
            <w:r w:rsidR="00547417">
              <w:t>–</w:t>
            </w:r>
            <w:r w:rsidRPr="00730CC1">
              <w:rPr>
                <w:sz w:val="20"/>
                <w:szCs w:val="20"/>
              </w:rPr>
              <w:t xml:space="preserve">64 (darbingo amžiaus)                    </w:t>
            </w:r>
          </w:p>
        </w:tc>
        <w:tc>
          <w:tcPr>
            <w:tcW w:w="812" w:type="dxa"/>
            <w:shd w:val="clear" w:color="auto" w:fill="F6E2A3"/>
          </w:tcPr>
          <w:p w14:paraId="3E2233FA" w14:textId="77777777" w:rsidR="00596FDB" w:rsidRPr="00730CC1" w:rsidRDefault="00596FDB" w:rsidP="00F43244">
            <w:pPr>
              <w:tabs>
                <w:tab w:val="center" w:pos="4819"/>
                <w:tab w:val="right" w:pos="9638"/>
              </w:tabs>
              <w:contextualSpacing/>
              <w:rPr>
                <w:sz w:val="20"/>
                <w:szCs w:val="20"/>
              </w:rPr>
            </w:pPr>
            <w:r w:rsidRPr="00730CC1">
              <w:rPr>
                <w:sz w:val="20"/>
                <w:szCs w:val="20"/>
              </w:rPr>
              <w:t>38,1</w:t>
            </w:r>
          </w:p>
        </w:tc>
        <w:tc>
          <w:tcPr>
            <w:tcW w:w="812" w:type="dxa"/>
            <w:shd w:val="clear" w:color="auto" w:fill="F6E2A3"/>
          </w:tcPr>
          <w:p w14:paraId="4130E5D3" w14:textId="77777777" w:rsidR="00596FDB" w:rsidRPr="00730CC1" w:rsidRDefault="00596FDB" w:rsidP="00F43244">
            <w:pPr>
              <w:tabs>
                <w:tab w:val="center" w:pos="4819"/>
                <w:tab w:val="right" w:pos="9638"/>
              </w:tabs>
              <w:contextualSpacing/>
              <w:rPr>
                <w:sz w:val="20"/>
                <w:szCs w:val="20"/>
              </w:rPr>
            </w:pPr>
          </w:p>
        </w:tc>
        <w:tc>
          <w:tcPr>
            <w:tcW w:w="3836" w:type="dxa"/>
            <w:shd w:val="clear" w:color="auto" w:fill="F6E2A3"/>
          </w:tcPr>
          <w:p w14:paraId="0BED9EA1" w14:textId="77777777" w:rsidR="00596FDB" w:rsidRPr="00730CC1" w:rsidRDefault="00596FDB" w:rsidP="00F43244">
            <w:pPr>
              <w:tabs>
                <w:tab w:val="center" w:pos="4819"/>
                <w:tab w:val="right" w:pos="9638"/>
              </w:tabs>
              <w:contextualSpacing/>
              <w:rPr>
                <w:sz w:val="20"/>
                <w:szCs w:val="20"/>
              </w:rPr>
            </w:pPr>
            <w:r w:rsidRPr="00730CC1">
              <w:rPr>
                <w:sz w:val="20"/>
                <w:szCs w:val="20"/>
              </w:rPr>
              <w:t xml:space="preserve">trys ir daugiau suaugusių asmenų be vaikų </w:t>
            </w:r>
          </w:p>
        </w:tc>
        <w:tc>
          <w:tcPr>
            <w:tcW w:w="900" w:type="dxa"/>
            <w:shd w:val="clear" w:color="auto" w:fill="F6E2A3"/>
          </w:tcPr>
          <w:p w14:paraId="35EB4B33" w14:textId="77777777" w:rsidR="00596FDB" w:rsidRPr="00730CC1" w:rsidRDefault="00596FDB" w:rsidP="00F43244">
            <w:pPr>
              <w:tabs>
                <w:tab w:val="center" w:pos="4819"/>
                <w:tab w:val="right" w:pos="9638"/>
              </w:tabs>
              <w:contextualSpacing/>
              <w:rPr>
                <w:sz w:val="20"/>
                <w:szCs w:val="20"/>
              </w:rPr>
            </w:pPr>
            <w:r w:rsidRPr="00730CC1">
              <w:rPr>
                <w:sz w:val="20"/>
                <w:szCs w:val="20"/>
              </w:rPr>
              <w:t>10,5</w:t>
            </w:r>
          </w:p>
        </w:tc>
        <w:tc>
          <w:tcPr>
            <w:tcW w:w="810" w:type="dxa"/>
            <w:shd w:val="clear" w:color="auto" w:fill="F6E2A3"/>
          </w:tcPr>
          <w:p w14:paraId="1EB0ACA9" w14:textId="77777777" w:rsidR="00596FDB" w:rsidRPr="00730CC1" w:rsidRDefault="00596FDB" w:rsidP="00F43244">
            <w:pPr>
              <w:tabs>
                <w:tab w:val="center" w:pos="4819"/>
                <w:tab w:val="right" w:pos="9638"/>
              </w:tabs>
              <w:contextualSpacing/>
              <w:rPr>
                <w:sz w:val="20"/>
                <w:szCs w:val="20"/>
              </w:rPr>
            </w:pPr>
            <w:r w:rsidRPr="00730CC1">
              <w:rPr>
                <w:sz w:val="20"/>
                <w:szCs w:val="20"/>
              </w:rPr>
              <w:t>12,5</w:t>
            </w:r>
          </w:p>
        </w:tc>
      </w:tr>
      <w:tr w:rsidR="00596FDB" w:rsidRPr="00730CC1" w14:paraId="605BD6FE" w14:textId="77777777" w:rsidTr="00440F15">
        <w:tc>
          <w:tcPr>
            <w:tcW w:w="2536" w:type="dxa"/>
            <w:vMerge w:val="restart"/>
          </w:tcPr>
          <w:p w14:paraId="7A33640F" w14:textId="77777777" w:rsidR="00596FDB" w:rsidRPr="00730CC1" w:rsidRDefault="00596FDB" w:rsidP="00F43244">
            <w:pPr>
              <w:tabs>
                <w:tab w:val="center" w:pos="4819"/>
                <w:tab w:val="right" w:pos="9638"/>
              </w:tabs>
              <w:contextualSpacing/>
              <w:rPr>
                <w:sz w:val="20"/>
                <w:szCs w:val="20"/>
              </w:rPr>
            </w:pPr>
            <w:r w:rsidRPr="00730CC1">
              <w:rPr>
                <w:sz w:val="20"/>
                <w:szCs w:val="20"/>
              </w:rPr>
              <w:t>virš 65 metų</w:t>
            </w:r>
          </w:p>
        </w:tc>
        <w:tc>
          <w:tcPr>
            <w:tcW w:w="812" w:type="dxa"/>
            <w:vMerge w:val="restart"/>
          </w:tcPr>
          <w:p w14:paraId="20928139" w14:textId="77777777" w:rsidR="00596FDB" w:rsidRPr="00730CC1" w:rsidRDefault="00596FDB" w:rsidP="00F43244">
            <w:pPr>
              <w:tabs>
                <w:tab w:val="center" w:pos="4819"/>
                <w:tab w:val="right" w:pos="9638"/>
              </w:tabs>
              <w:contextualSpacing/>
              <w:rPr>
                <w:sz w:val="20"/>
                <w:szCs w:val="20"/>
              </w:rPr>
            </w:pPr>
            <w:r w:rsidRPr="00730CC1">
              <w:rPr>
                <w:sz w:val="20"/>
                <w:szCs w:val="20"/>
              </w:rPr>
              <w:t xml:space="preserve">10,1                              </w:t>
            </w:r>
          </w:p>
        </w:tc>
        <w:tc>
          <w:tcPr>
            <w:tcW w:w="812" w:type="dxa"/>
            <w:vMerge w:val="restart"/>
          </w:tcPr>
          <w:p w14:paraId="2F741F3B" w14:textId="77777777" w:rsidR="00596FDB" w:rsidRPr="00730CC1" w:rsidRDefault="00596FDB" w:rsidP="00F43244">
            <w:pPr>
              <w:tabs>
                <w:tab w:val="center" w:pos="4819"/>
                <w:tab w:val="right" w:pos="9638"/>
              </w:tabs>
              <w:contextualSpacing/>
              <w:rPr>
                <w:sz w:val="20"/>
                <w:szCs w:val="20"/>
              </w:rPr>
            </w:pPr>
            <w:r w:rsidRPr="00730CC1">
              <w:rPr>
                <w:sz w:val="20"/>
                <w:szCs w:val="20"/>
              </w:rPr>
              <w:t>18,7</w:t>
            </w:r>
          </w:p>
        </w:tc>
        <w:tc>
          <w:tcPr>
            <w:tcW w:w="3836" w:type="dxa"/>
          </w:tcPr>
          <w:p w14:paraId="14DEE4C4" w14:textId="77777777" w:rsidR="00596FDB" w:rsidRPr="00730CC1" w:rsidRDefault="00596FDB" w:rsidP="00F43244">
            <w:pPr>
              <w:tabs>
                <w:tab w:val="center" w:pos="4819"/>
                <w:tab w:val="right" w:pos="9638"/>
              </w:tabs>
              <w:contextualSpacing/>
              <w:rPr>
                <w:sz w:val="20"/>
                <w:szCs w:val="20"/>
              </w:rPr>
            </w:pPr>
            <w:r w:rsidRPr="00730CC1">
              <w:rPr>
                <w:sz w:val="20"/>
                <w:szCs w:val="20"/>
              </w:rPr>
              <w:t xml:space="preserve">vienas suaugęs asmuo su vienu ar daugiau vaikų </w:t>
            </w:r>
          </w:p>
        </w:tc>
        <w:tc>
          <w:tcPr>
            <w:tcW w:w="900" w:type="dxa"/>
          </w:tcPr>
          <w:p w14:paraId="45FAEDDF" w14:textId="77777777" w:rsidR="00596FDB" w:rsidRPr="00730CC1" w:rsidRDefault="00596FDB" w:rsidP="00F43244">
            <w:pPr>
              <w:tabs>
                <w:tab w:val="center" w:pos="4819"/>
                <w:tab w:val="right" w:pos="9638"/>
              </w:tabs>
              <w:contextualSpacing/>
              <w:rPr>
                <w:sz w:val="20"/>
                <w:szCs w:val="20"/>
              </w:rPr>
            </w:pPr>
            <w:r w:rsidRPr="00730CC1">
              <w:rPr>
                <w:sz w:val="20"/>
                <w:szCs w:val="20"/>
              </w:rPr>
              <w:t>44,0</w:t>
            </w:r>
          </w:p>
        </w:tc>
        <w:tc>
          <w:tcPr>
            <w:tcW w:w="810" w:type="dxa"/>
          </w:tcPr>
          <w:p w14:paraId="46846678" w14:textId="77777777" w:rsidR="00596FDB" w:rsidRPr="00730CC1" w:rsidRDefault="00596FDB" w:rsidP="00F43244">
            <w:pPr>
              <w:tabs>
                <w:tab w:val="center" w:pos="4819"/>
                <w:tab w:val="right" w:pos="9638"/>
              </w:tabs>
              <w:contextualSpacing/>
              <w:rPr>
                <w:sz w:val="20"/>
                <w:szCs w:val="20"/>
              </w:rPr>
            </w:pPr>
            <w:r w:rsidRPr="00730CC1">
              <w:rPr>
                <w:sz w:val="20"/>
                <w:szCs w:val="20"/>
              </w:rPr>
              <w:t>39,2</w:t>
            </w:r>
          </w:p>
        </w:tc>
      </w:tr>
      <w:tr w:rsidR="00596FDB" w:rsidRPr="00730CC1" w14:paraId="6EFEF546" w14:textId="77777777" w:rsidTr="00440F15">
        <w:tc>
          <w:tcPr>
            <w:tcW w:w="2536" w:type="dxa"/>
            <w:vMerge/>
            <w:shd w:val="clear" w:color="auto" w:fill="F6E2A3"/>
          </w:tcPr>
          <w:p w14:paraId="3E53C077" w14:textId="77777777" w:rsidR="00596FDB" w:rsidRPr="00730CC1" w:rsidRDefault="00596FDB" w:rsidP="00F43244">
            <w:pPr>
              <w:tabs>
                <w:tab w:val="center" w:pos="4819"/>
                <w:tab w:val="right" w:pos="9638"/>
              </w:tabs>
              <w:contextualSpacing/>
              <w:rPr>
                <w:sz w:val="20"/>
                <w:szCs w:val="20"/>
              </w:rPr>
            </w:pPr>
          </w:p>
        </w:tc>
        <w:tc>
          <w:tcPr>
            <w:tcW w:w="812" w:type="dxa"/>
            <w:vMerge/>
            <w:shd w:val="clear" w:color="auto" w:fill="F6E2A3"/>
          </w:tcPr>
          <w:p w14:paraId="2E0B682D" w14:textId="77777777" w:rsidR="00596FDB" w:rsidRPr="00730CC1" w:rsidRDefault="00596FDB" w:rsidP="00F43244">
            <w:pPr>
              <w:tabs>
                <w:tab w:val="center" w:pos="4819"/>
                <w:tab w:val="right" w:pos="9638"/>
              </w:tabs>
              <w:contextualSpacing/>
              <w:rPr>
                <w:sz w:val="20"/>
                <w:szCs w:val="20"/>
              </w:rPr>
            </w:pPr>
          </w:p>
        </w:tc>
        <w:tc>
          <w:tcPr>
            <w:tcW w:w="812" w:type="dxa"/>
            <w:vMerge/>
            <w:shd w:val="clear" w:color="auto" w:fill="F6E2A3"/>
          </w:tcPr>
          <w:p w14:paraId="06A8631D" w14:textId="77777777" w:rsidR="00596FDB" w:rsidRPr="00730CC1" w:rsidRDefault="00596FDB" w:rsidP="00F43244">
            <w:pPr>
              <w:tabs>
                <w:tab w:val="center" w:pos="4819"/>
                <w:tab w:val="right" w:pos="9638"/>
              </w:tabs>
              <w:contextualSpacing/>
              <w:rPr>
                <w:sz w:val="20"/>
                <w:szCs w:val="20"/>
              </w:rPr>
            </w:pPr>
          </w:p>
        </w:tc>
        <w:tc>
          <w:tcPr>
            <w:tcW w:w="3836" w:type="dxa"/>
            <w:shd w:val="clear" w:color="auto" w:fill="F6E2A3"/>
          </w:tcPr>
          <w:p w14:paraId="04EEFE12" w14:textId="77777777" w:rsidR="00596FDB" w:rsidRPr="00730CC1" w:rsidRDefault="00596FDB" w:rsidP="00F43244">
            <w:pPr>
              <w:tabs>
                <w:tab w:val="center" w:pos="4819"/>
                <w:tab w:val="right" w:pos="9638"/>
              </w:tabs>
              <w:contextualSpacing/>
              <w:rPr>
                <w:sz w:val="20"/>
                <w:szCs w:val="20"/>
              </w:rPr>
            </w:pPr>
            <w:r w:rsidRPr="00730CC1">
              <w:rPr>
                <w:sz w:val="20"/>
                <w:szCs w:val="20"/>
              </w:rPr>
              <w:t xml:space="preserve">du suaugę asmenys su vienu vaiku </w:t>
            </w:r>
          </w:p>
        </w:tc>
        <w:tc>
          <w:tcPr>
            <w:tcW w:w="900" w:type="dxa"/>
            <w:shd w:val="clear" w:color="auto" w:fill="F6E2A3"/>
          </w:tcPr>
          <w:p w14:paraId="5F95A44C" w14:textId="77777777" w:rsidR="00596FDB" w:rsidRPr="00730CC1" w:rsidRDefault="00596FDB" w:rsidP="00F43244">
            <w:pPr>
              <w:tabs>
                <w:tab w:val="center" w:pos="4819"/>
                <w:tab w:val="right" w:pos="9638"/>
              </w:tabs>
              <w:contextualSpacing/>
              <w:rPr>
                <w:sz w:val="20"/>
                <w:szCs w:val="20"/>
              </w:rPr>
            </w:pPr>
            <w:r w:rsidRPr="00730CC1">
              <w:rPr>
                <w:sz w:val="20"/>
                <w:szCs w:val="20"/>
              </w:rPr>
              <w:t>15,5</w:t>
            </w:r>
          </w:p>
        </w:tc>
        <w:tc>
          <w:tcPr>
            <w:tcW w:w="810" w:type="dxa"/>
            <w:shd w:val="clear" w:color="auto" w:fill="F6E2A3"/>
          </w:tcPr>
          <w:p w14:paraId="0ACCD473" w14:textId="77777777" w:rsidR="00596FDB" w:rsidRPr="00730CC1" w:rsidRDefault="00596FDB" w:rsidP="00F43244">
            <w:pPr>
              <w:tabs>
                <w:tab w:val="center" w:pos="4819"/>
                <w:tab w:val="right" w:pos="9638"/>
              </w:tabs>
              <w:contextualSpacing/>
              <w:rPr>
                <w:sz w:val="20"/>
                <w:szCs w:val="20"/>
              </w:rPr>
            </w:pPr>
            <w:r w:rsidRPr="00730CC1">
              <w:rPr>
                <w:sz w:val="20"/>
                <w:szCs w:val="20"/>
              </w:rPr>
              <w:t>12,3</w:t>
            </w:r>
          </w:p>
        </w:tc>
      </w:tr>
      <w:tr w:rsidR="00596FDB" w:rsidRPr="00730CC1" w14:paraId="5E78B091" w14:textId="77777777" w:rsidTr="00440F15">
        <w:tc>
          <w:tcPr>
            <w:tcW w:w="2536" w:type="dxa"/>
            <w:vMerge/>
          </w:tcPr>
          <w:p w14:paraId="461472CB" w14:textId="77777777" w:rsidR="00596FDB" w:rsidRPr="00730CC1" w:rsidRDefault="00596FDB" w:rsidP="00F43244">
            <w:pPr>
              <w:tabs>
                <w:tab w:val="center" w:pos="4819"/>
                <w:tab w:val="right" w:pos="9638"/>
              </w:tabs>
              <w:contextualSpacing/>
              <w:rPr>
                <w:sz w:val="20"/>
                <w:szCs w:val="20"/>
              </w:rPr>
            </w:pPr>
          </w:p>
        </w:tc>
        <w:tc>
          <w:tcPr>
            <w:tcW w:w="812" w:type="dxa"/>
            <w:vMerge/>
          </w:tcPr>
          <w:p w14:paraId="1984B309" w14:textId="77777777" w:rsidR="00596FDB" w:rsidRPr="00730CC1" w:rsidRDefault="00596FDB" w:rsidP="00F43244">
            <w:pPr>
              <w:tabs>
                <w:tab w:val="center" w:pos="4819"/>
                <w:tab w:val="right" w:pos="9638"/>
              </w:tabs>
              <w:contextualSpacing/>
              <w:rPr>
                <w:sz w:val="20"/>
                <w:szCs w:val="20"/>
              </w:rPr>
            </w:pPr>
          </w:p>
        </w:tc>
        <w:tc>
          <w:tcPr>
            <w:tcW w:w="812" w:type="dxa"/>
            <w:vMerge/>
          </w:tcPr>
          <w:p w14:paraId="12D51938" w14:textId="77777777" w:rsidR="00596FDB" w:rsidRPr="00730CC1" w:rsidRDefault="00596FDB" w:rsidP="00F43244">
            <w:pPr>
              <w:tabs>
                <w:tab w:val="center" w:pos="4819"/>
                <w:tab w:val="right" w:pos="9638"/>
              </w:tabs>
              <w:contextualSpacing/>
              <w:rPr>
                <w:sz w:val="20"/>
                <w:szCs w:val="20"/>
              </w:rPr>
            </w:pPr>
          </w:p>
        </w:tc>
        <w:tc>
          <w:tcPr>
            <w:tcW w:w="3836" w:type="dxa"/>
          </w:tcPr>
          <w:p w14:paraId="14352E9F" w14:textId="77777777" w:rsidR="00596FDB" w:rsidRPr="00730CC1" w:rsidRDefault="00596FDB" w:rsidP="00F43244">
            <w:pPr>
              <w:tabs>
                <w:tab w:val="center" w:pos="4819"/>
                <w:tab w:val="right" w:pos="9638"/>
              </w:tabs>
              <w:contextualSpacing/>
              <w:rPr>
                <w:sz w:val="20"/>
                <w:szCs w:val="20"/>
              </w:rPr>
            </w:pPr>
            <w:r w:rsidRPr="00730CC1">
              <w:rPr>
                <w:sz w:val="20"/>
                <w:szCs w:val="20"/>
              </w:rPr>
              <w:t xml:space="preserve">du suaugę asmenys su dviem ar daugiau vaikų </w:t>
            </w:r>
          </w:p>
        </w:tc>
        <w:tc>
          <w:tcPr>
            <w:tcW w:w="900" w:type="dxa"/>
          </w:tcPr>
          <w:p w14:paraId="574A42DB" w14:textId="77777777" w:rsidR="00596FDB" w:rsidRPr="00730CC1" w:rsidRDefault="00596FDB" w:rsidP="00F43244">
            <w:pPr>
              <w:tabs>
                <w:tab w:val="center" w:pos="4819"/>
                <w:tab w:val="right" w:pos="9638"/>
              </w:tabs>
              <w:contextualSpacing/>
              <w:rPr>
                <w:sz w:val="20"/>
                <w:szCs w:val="20"/>
              </w:rPr>
            </w:pPr>
            <w:r w:rsidRPr="00730CC1">
              <w:rPr>
                <w:sz w:val="20"/>
                <w:szCs w:val="20"/>
              </w:rPr>
              <w:t>24,2</w:t>
            </w:r>
          </w:p>
        </w:tc>
        <w:tc>
          <w:tcPr>
            <w:tcW w:w="810" w:type="dxa"/>
          </w:tcPr>
          <w:p w14:paraId="56F3B522" w14:textId="77777777" w:rsidR="00596FDB" w:rsidRPr="00730CC1" w:rsidRDefault="00596FDB" w:rsidP="00F43244">
            <w:pPr>
              <w:tabs>
                <w:tab w:val="center" w:pos="4819"/>
                <w:tab w:val="right" w:pos="9638"/>
              </w:tabs>
              <w:contextualSpacing/>
              <w:rPr>
                <w:sz w:val="20"/>
                <w:szCs w:val="20"/>
              </w:rPr>
            </w:pPr>
            <w:r w:rsidRPr="00730CC1">
              <w:rPr>
                <w:sz w:val="20"/>
                <w:szCs w:val="20"/>
              </w:rPr>
              <w:t>18,5</w:t>
            </w:r>
          </w:p>
        </w:tc>
      </w:tr>
      <w:tr w:rsidR="00596FDB" w:rsidRPr="00730CC1" w14:paraId="07813AFE" w14:textId="77777777" w:rsidTr="00440F15">
        <w:tc>
          <w:tcPr>
            <w:tcW w:w="2536" w:type="dxa"/>
            <w:vMerge/>
            <w:shd w:val="clear" w:color="auto" w:fill="F6E2A3"/>
          </w:tcPr>
          <w:p w14:paraId="571A94FF" w14:textId="77777777" w:rsidR="00596FDB" w:rsidRPr="00730CC1" w:rsidRDefault="00596FDB" w:rsidP="00F43244">
            <w:pPr>
              <w:tabs>
                <w:tab w:val="center" w:pos="4819"/>
                <w:tab w:val="right" w:pos="9638"/>
              </w:tabs>
              <w:contextualSpacing/>
              <w:rPr>
                <w:sz w:val="20"/>
                <w:szCs w:val="20"/>
              </w:rPr>
            </w:pPr>
          </w:p>
        </w:tc>
        <w:tc>
          <w:tcPr>
            <w:tcW w:w="812" w:type="dxa"/>
            <w:vMerge/>
            <w:shd w:val="clear" w:color="auto" w:fill="F6E2A3"/>
          </w:tcPr>
          <w:p w14:paraId="31D2F12D" w14:textId="77777777" w:rsidR="00596FDB" w:rsidRPr="00730CC1" w:rsidRDefault="00596FDB" w:rsidP="00F43244">
            <w:pPr>
              <w:tabs>
                <w:tab w:val="center" w:pos="4819"/>
                <w:tab w:val="right" w:pos="9638"/>
              </w:tabs>
              <w:contextualSpacing/>
              <w:rPr>
                <w:sz w:val="20"/>
                <w:szCs w:val="20"/>
              </w:rPr>
            </w:pPr>
          </w:p>
        </w:tc>
        <w:tc>
          <w:tcPr>
            <w:tcW w:w="812" w:type="dxa"/>
            <w:vMerge/>
            <w:shd w:val="clear" w:color="auto" w:fill="F6E2A3"/>
          </w:tcPr>
          <w:p w14:paraId="047B0C77" w14:textId="77777777" w:rsidR="00596FDB" w:rsidRPr="00730CC1" w:rsidRDefault="00596FDB" w:rsidP="00F43244">
            <w:pPr>
              <w:tabs>
                <w:tab w:val="center" w:pos="4819"/>
                <w:tab w:val="right" w:pos="9638"/>
              </w:tabs>
              <w:contextualSpacing/>
              <w:rPr>
                <w:sz w:val="20"/>
                <w:szCs w:val="20"/>
              </w:rPr>
            </w:pPr>
          </w:p>
        </w:tc>
        <w:tc>
          <w:tcPr>
            <w:tcW w:w="3836" w:type="dxa"/>
            <w:shd w:val="clear" w:color="auto" w:fill="F6E2A3"/>
          </w:tcPr>
          <w:p w14:paraId="7F99DEC9" w14:textId="77777777" w:rsidR="00596FDB" w:rsidRPr="00730CC1" w:rsidRDefault="00596FDB" w:rsidP="00F43244">
            <w:pPr>
              <w:tabs>
                <w:tab w:val="center" w:pos="4819"/>
                <w:tab w:val="right" w:pos="9638"/>
              </w:tabs>
              <w:contextualSpacing/>
              <w:rPr>
                <w:sz w:val="20"/>
                <w:szCs w:val="20"/>
              </w:rPr>
            </w:pPr>
            <w:r w:rsidRPr="00730CC1">
              <w:rPr>
                <w:sz w:val="20"/>
                <w:szCs w:val="20"/>
              </w:rPr>
              <w:t xml:space="preserve">trys ar daugiau suaugusių asmenų su vaikais </w:t>
            </w:r>
          </w:p>
        </w:tc>
        <w:tc>
          <w:tcPr>
            <w:tcW w:w="900" w:type="dxa"/>
            <w:shd w:val="clear" w:color="auto" w:fill="F6E2A3"/>
          </w:tcPr>
          <w:p w14:paraId="4D04AFA4" w14:textId="77777777" w:rsidR="00596FDB" w:rsidRPr="00730CC1" w:rsidRDefault="00596FDB" w:rsidP="00F43244">
            <w:pPr>
              <w:tabs>
                <w:tab w:val="center" w:pos="4819"/>
                <w:tab w:val="right" w:pos="9638"/>
              </w:tabs>
              <w:contextualSpacing/>
              <w:rPr>
                <w:sz w:val="20"/>
                <w:szCs w:val="20"/>
              </w:rPr>
            </w:pPr>
            <w:r w:rsidRPr="00730CC1">
              <w:rPr>
                <w:sz w:val="20"/>
                <w:szCs w:val="20"/>
              </w:rPr>
              <w:t>14,3</w:t>
            </w:r>
          </w:p>
        </w:tc>
        <w:tc>
          <w:tcPr>
            <w:tcW w:w="810" w:type="dxa"/>
            <w:shd w:val="clear" w:color="auto" w:fill="F6E2A3"/>
          </w:tcPr>
          <w:p w14:paraId="47D312B3" w14:textId="77777777" w:rsidR="00596FDB" w:rsidRPr="00730CC1" w:rsidRDefault="00596FDB" w:rsidP="00F43244">
            <w:pPr>
              <w:tabs>
                <w:tab w:val="center" w:pos="4819"/>
                <w:tab w:val="right" w:pos="9638"/>
              </w:tabs>
              <w:contextualSpacing/>
              <w:rPr>
                <w:sz w:val="20"/>
                <w:szCs w:val="20"/>
              </w:rPr>
            </w:pPr>
            <w:r w:rsidRPr="00730CC1">
              <w:rPr>
                <w:sz w:val="20"/>
                <w:szCs w:val="20"/>
              </w:rPr>
              <w:t>15,2</w:t>
            </w:r>
          </w:p>
        </w:tc>
      </w:tr>
    </w:tbl>
    <w:p w14:paraId="03C0CD36" w14:textId="77777777" w:rsidR="00596FDB" w:rsidRPr="00730CC1" w:rsidRDefault="00596FDB" w:rsidP="00440F15">
      <w:pPr>
        <w:spacing w:after="240"/>
        <w:ind w:left="363"/>
        <w:rPr>
          <w:sz w:val="20"/>
          <w:szCs w:val="20"/>
        </w:rPr>
      </w:pPr>
      <w:r w:rsidRPr="00730CC1">
        <w:rPr>
          <w:sz w:val="20"/>
          <w:szCs w:val="20"/>
        </w:rPr>
        <w:t>Šaltinis: sudaryta autorių, remiantis Lietuvos statistikos departamento duomenimis.</w:t>
      </w:r>
    </w:p>
    <w:p w14:paraId="1E562FF0" w14:textId="43E4947D" w:rsidR="00142C19" w:rsidRPr="00730CC1" w:rsidRDefault="00142C19" w:rsidP="00440F15">
      <w:pPr>
        <w:ind w:left="363"/>
        <w:jc w:val="both"/>
        <w:rPr>
          <w:sz w:val="22"/>
        </w:rPr>
      </w:pPr>
      <w:r w:rsidRPr="00DF57DD">
        <w:rPr>
          <w:sz w:val="22"/>
        </w:rPr>
        <w:t>Didelio materialinio nepritekliaus sąlygomis</w:t>
      </w:r>
      <w:r w:rsidRPr="00730CC1">
        <w:rPr>
          <w:sz w:val="22"/>
        </w:rPr>
        <w:t xml:space="preserve"> Lietuvoje 2012 m. gyveno 19,8 proc. gyventojų</w:t>
      </w:r>
      <w:r w:rsidRPr="00730CC1">
        <w:rPr>
          <w:rStyle w:val="FootnoteReference"/>
          <w:sz w:val="22"/>
        </w:rPr>
        <w:footnoteReference w:id="11"/>
      </w:r>
      <w:r w:rsidRPr="00730CC1">
        <w:rPr>
          <w:sz w:val="22"/>
        </w:rPr>
        <w:t xml:space="preserve">, o 23 proc. žmonių negalėjo sau leisti bent kas antrą dieną valgyti mėsos, žuvies ar analogiško vegetariško maisto. </w:t>
      </w:r>
      <w:r w:rsidR="00F91D4F" w:rsidRPr="00730CC1">
        <w:rPr>
          <w:sz w:val="22"/>
        </w:rPr>
        <w:t xml:space="preserve">Tai, kad </w:t>
      </w:r>
      <w:r w:rsidR="00001FB9" w:rsidRPr="00730CC1">
        <w:rPr>
          <w:sz w:val="22"/>
        </w:rPr>
        <w:t xml:space="preserve">labai mažo darbo intensyvumo namų ūkiuose gyvena, bet </w:t>
      </w:r>
      <w:r w:rsidR="00F91D4F" w:rsidRPr="00730CC1">
        <w:rPr>
          <w:sz w:val="22"/>
        </w:rPr>
        <w:t>didel</w:t>
      </w:r>
      <w:r w:rsidR="00001FB9" w:rsidRPr="00730CC1">
        <w:rPr>
          <w:sz w:val="22"/>
        </w:rPr>
        <w:t>io materialinio nepritekliaus</w:t>
      </w:r>
      <w:r w:rsidR="00F91D4F" w:rsidRPr="00730CC1">
        <w:rPr>
          <w:sz w:val="22"/>
        </w:rPr>
        <w:t xml:space="preserve"> ir </w:t>
      </w:r>
      <w:r w:rsidR="00001FB9" w:rsidRPr="00730CC1">
        <w:rPr>
          <w:sz w:val="22"/>
        </w:rPr>
        <w:t>skurdo rizikos nepatiria tik 1,7 proc. gyventojų</w:t>
      </w:r>
      <w:r w:rsidR="00440AE3" w:rsidRPr="00730CC1">
        <w:rPr>
          <w:sz w:val="22"/>
        </w:rPr>
        <w:t xml:space="preserve">, o 12,4 proc. patiria skurdo riziką, tačiau </w:t>
      </w:r>
      <w:r w:rsidR="00440AE3" w:rsidRPr="00730CC1">
        <w:rPr>
          <w:sz w:val="22"/>
        </w:rPr>
        <w:lastRenderedPageBreak/>
        <w:t>negyvena labai mažo darbo intensyvumo ūkiuose ir didelio materialinio nepritekliaus sąlygomis</w:t>
      </w:r>
      <w:r w:rsidR="007B2AF9" w:rsidRPr="00730CC1">
        <w:rPr>
          <w:rStyle w:val="FootnoteReference"/>
          <w:sz w:val="22"/>
        </w:rPr>
        <w:footnoteReference w:id="12"/>
      </w:r>
      <w:r w:rsidR="00440AE3" w:rsidRPr="00730CC1">
        <w:rPr>
          <w:sz w:val="22"/>
        </w:rPr>
        <w:t>,</w:t>
      </w:r>
      <w:r w:rsidR="00001FB9" w:rsidRPr="00730CC1">
        <w:rPr>
          <w:sz w:val="22"/>
        </w:rPr>
        <w:t xml:space="preserve"> rodo, kad </w:t>
      </w:r>
      <w:r w:rsidR="00440AE3" w:rsidRPr="00730CC1">
        <w:rPr>
          <w:sz w:val="22"/>
        </w:rPr>
        <w:t>skurdo ir socialinės atskirties problema</w:t>
      </w:r>
      <w:r w:rsidR="00001FB9" w:rsidRPr="00730CC1">
        <w:rPr>
          <w:sz w:val="22"/>
        </w:rPr>
        <w:t xml:space="preserve"> visų pirma yra susijusi su nepakankamomis p</w:t>
      </w:r>
      <w:r w:rsidR="00440AE3" w:rsidRPr="00730CC1">
        <w:rPr>
          <w:sz w:val="22"/>
        </w:rPr>
        <w:t>ajamomis ir mažu užimtumo lygiu, dėl kurių blogėja ir gyvenimo sąlygos.</w:t>
      </w:r>
    </w:p>
    <w:p w14:paraId="2ED5451A" w14:textId="77777777" w:rsidR="00142C19" w:rsidRPr="00730CC1" w:rsidRDefault="00142C19" w:rsidP="00440F15">
      <w:pPr>
        <w:ind w:left="363"/>
        <w:jc w:val="both"/>
        <w:rPr>
          <w:sz w:val="22"/>
        </w:rPr>
      </w:pPr>
    </w:p>
    <w:p w14:paraId="168D472B" w14:textId="3D92FBD1" w:rsidR="00596FDB" w:rsidRPr="00730CC1" w:rsidRDefault="00596FDB" w:rsidP="00440F15">
      <w:pPr>
        <w:ind w:left="363"/>
        <w:jc w:val="both"/>
        <w:rPr>
          <w:sz w:val="22"/>
        </w:rPr>
      </w:pPr>
      <w:r w:rsidRPr="00730CC1">
        <w:rPr>
          <w:sz w:val="22"/>
        </w:rPr>
        <w:t>Pagrindinės Nacionalinėje reformų darbotvarkėje nustatytos skurdo ir socialinės atskirties mažinimo kryptys – sėkminga skurdo ir socialinės atskirties prevencija, užimtumo skatinimas, socialinės apsaugos ir sveikatos santykių teisumą skatinanti sveikatos apsaugos politika, kultūros paslaugų prieinamumas</w:t>
      </w:r>
      <w:r w:rsidRPr="00730CC1">
        <w:rPr>
          <w:rStyle w:val="FootnoteReference"/>
          <w:sz w:val="22"/>
        </w:rPr>
        <w:footnoteReference w:id="13"/>
      </w:r>
      <w:r w:rsidRPr="00730CC1">
        <w:rPr>
          <w:sz w:val="22"/>
        </w:rPr>
        <w:t>. 2013 m. pabaigoje taip pat buvo patvirtintas Socialinės įtraukties didinimo 2014</w:t>
      </w:r>
      <w:r w:rsidR="00547417">
        <w:t>–</w:t>
      </w:r>
      <w:r w:rsidRPr="00730CC1">
        <w:rPr>
          <w:sz w:val="22"/>
        </w:rPr>
        <w:t>2020 m. veiksmų planas, nustatantis</w:t>
      </w:r>
      <w:r w:rsidR="00F13617">
        <w:rPr>
          <w:sz w:val="22"/>
        </w:rPr>
        <w:t>,</w:t>
      </w:r>
      <w:r w:rsidRPr="00730CC1">
        <w:rPr>
          <w:sz w:val="22"/>
        </w:rPr>
        <w:t xml:space="preserve"> kaip bus įgyvendinam</w:t>
      </w:r>
      <w:r w:rsidR="00827496">
        <w:rPr>
          <w:sz w:val="22"/>
        </w:rPr>
        <w:t>os</w:t>
      </w:r>
      <w:r w:rsidRPr="00730CC1">
        <w:rPr>
          <w:sz w:val="22"/>
        </w:rPr>
        <w:t xml:space="preserve"> nacionalinių (Nacionalinės reformų darbotvarkės, Nacionalinės pažangos programos, Vyriausybės programos) ir ES strateginių dokumentų nuostatos skurdo mažinimo ir socialinės įtraukties didinimo srityje. Šiame veiksmų plane yra išskiriami keturi pagrindiniai tikslai:</w:t>
      </w:r>
    </w:p>
    <w:p w14:paraId="44EFF917" w14:textId="77777777" w:rsidR="00596FDB" w:rsidRPr="00730CC1" w:rsidRDefault="00596FDB" w:rsidP="00B7523B">
      <w:pPr>
        <w:numPr>
          <w:ilvl w:val="0"/>
          <w:numId w:val="19"/>
        </w:numPr>
        <w:autoSpaceDE w:val="0"/>
        <w:autoSpaceDN w:val="0"/>
        <w:adjustRightInd w:val="0"/>
        <w:spacing w:after="120" w:line="240" w:lineRule="auto"/>
        <w:jc w:val="both"/>
        <w:rPr>
          <w:sz w:val="22"/>
          <w:lang w:eastAsia="en-US"/>
        </w:rPr>
      </w:pPr>
      <w:r w:rsidRPr="00730CC1">
        <w:rPr>
          <w:sz w:val="22"/>
          <w:lang w:eastAsia="en-US"/>
        </w:rPr>
        <w:t>siekti vaiko ir šeimos gerov</w:t>
      </w:r>
      <w:r w:rsidRPr="00730CC1">
        <w:rPr>
          <w:rFonts w:cs="TimesNewRoman"/>
          <w:sz w:val="22"/>
          <w:lang w:eastAsia="en-US"/>
        </w:rPr>
        <w:t>ė</w:t>
      </w:r>
      <w:r w:rsidRPr="00730CC1">
        <w:rPr>
          <w:sz w:val="22"/>
          <w:lang w:eastAsia="en-US"/>
        </w:rPr>
        <w:t>s, stiprinti ir saugoti visuomen</w:t>
      </w:r>
      <w:r w:rsidRPr="00730CC1">
        <w:rPr>
          <w:rFonts w:cs="TimesNewRoman"/>
          <w:sz w:val="22"/>
          <w:lang w:eastAsia="en-US"/>
        </w:rPr>
        <w:t>ė</w:t>
      </w:r>
      <w:r w:rsidRPr="00730CC1">
        <w:rPr>
          <w:sz w:val="22"/>
          <w:lang w:eastAsia="en-US"/>
        </w:rPr>
        <w:t>s sveikat</w:t>
      </w:r>
      <w:r w:rsidRPr="00730CC1">
        <w:rPr>
          <w:rFonts w:cs="TimesNewRoman"/>
          <w:sz w:val="22"/>
          <w:lang w:eastAsia="en-US"/>
        </w:rPr>
        <w:t>ą</w:t>
      </w:r>
      <w:r w:rsidRPr="00730CC1">
        <w:rPr>
          <w:sz w:val="22"/>
          <w:lang w:eastAsia="en-US"/>
        </w:rPr>
        <w:t>;</w:t>
      </w:r>
    </w:p>
    <w:p w14:paraId="4533B13C" w14:textId="77777777" w:rsidR="00596FDB" w:rsidRPr="00730CC1" w:rsidRDefault="00596FDB" w:rsidP="00B7523B">
      <w:pPr>
        <w:numPr>
          <w:ilvl w:val="0"/>
          <w:numId w:val="19"/>
        </w:numPr>
        <w:autoSpaceDE w:val="0"/>
        <w:autoSpaceDN w:val="0"/>
        <w:adjustRightInd w:val="0"/>
        <w:spacing w:after="120" w:line="240" w:lineRule="auto"/>
        <w:jc w:val="both"/>
        <w:rPr>
          <w:sz w:val="22"/>
          <w:lang w:eastAsia="en-US"/>
        </w:rPr>
      </w:pPr>
      <w:r w:rsidRPr="00730CC1">
        <w:rPr>
          <w:sz w:val="22"/>
          <w:lang w:eastAsia="en-US"/>
        </w:rPr>
        <w:t>didinti labiausiai nuo darbo rinkos nutolusi</w:t>
      </w:r>
      <w:r w:rsidRPr="00730CC1">
        <w:rPr>
          <w:rFonts w:cs="TimesNewRoman"/>
          <w:sz w:val="22"/>
          <w:lang w:eastAsia="en-US"/>
        </w:rPr>
        <w:t xml:space="preserve">ų </w:t>
      </w:r>
      <w:r w:rsidRPr="00730CC1">
        <w:rPr>
          <w:sz w:val="22"/>
          <w:lang w:eastAsia="en-US"/>
        </w:rPr>
        <w:t>asmen</w:t>
      </w:r>
      <w:r w:rsidRPr="00730CC1">
        <w:rPr>
          <w:rFonts w:cs="TimesNewRoman"/>
          <w:sz w:val="22"/>
          <w:lang w:eastAsia="en-US"/>
        </w:rPr>
        <w:t xml:space="preserve">ų </w:t>
      </w:r>
      <w:r w:rsidRPr="00730CC1">
        <w:rPr>
          <w:sz w:val="22"/>
          <w:lang w:eastAsia="en-US"/>
        </w:rPr>
        <w:t xml:space="preserve">paskatas ir galimybes dalyvauti </w:t>
      </w:r>
      <w:r w:rsidRPr="00730CC1">
        <w:rPr>
          <w:rFonts w:cs="TimesNewRoman"/>
          <w:sz w:val="22"/>
          <w:lang w:eastAsia="en-US"/>
        </w:rPr>
        <w:t>į</w:t>
      </w:r>
      <w:r w:rsidRPr="00730CC1">
        <w:rPr>
          <w:sz w:val="22"/>
          <w:lang w:eastAsia="en-US"/>
        </w:rPr>
        <w:t xml:space="preserve">gyvendinant aktyvios </w:t>
      </w:r>
      <w:r w:rsidRPr="00730CC1">
        <w:rPr>
          <w:rFonts w:cs="TimesNewRoman"/>
          <w:sz w:val="22"/>
          <w:lang w:eastAsia="en-US"/>
        </w:rPr>
        <w:t>į</w:t>
      </w:r>
      <w:r w:rsidRPr="00730CC1">
        <w:rPr>
          <w:sz w:val="22"/>
          <w:lang w:eastAsia="en-US"/>
        </w:rPr>
        <w:t>traukties priemones;</w:t>
      </w:r>
    </w:p>
    <w:p w14:paraId="6B232861" w14:textId="77777777" w:rsidR="00596FDB" w:rsidRPr="00730CC1" w:rsidRDefault="00596FDB" w:rsidP="00B7523B">
      <w:pPr>
        <w:numPr>
          <w:ilvl w:val="0"/>
          <w:numId w:val="19"/>
        </w:numPr>
        <w:autoSpaceDE w:val="0"/>
        <w:autoSpaceDN w:val="0"/>
        <w:adjustRightInd w:val="0"/>
        <w:spacing w:after="120" w:line="240" w:lineRule="auto"/>
        <w:jc w:val="both"/>
        <w:rPr>
          <w:sz w:val="22"/>
          <w:lang w:eastAsia="en-US"/>
        </w:rPr>
      </w:pPr>
      <w:r w:rsidRPr="00730CC1">
        <w:rPr>
          <w:sz w:val="22"/>
          <w:lang w:eastAsia="en-US"/>
        </w:rPr>
        <w:t>užtikrinti gyventoj</w:t>
      </w:r>
      <w:r w:rsidRPr="00730CC1">
        <w:rPr>
          <w:rFonts w:cs="TimesNewRoman"/>
          <w:sz w:val="22"/>
          <w:lang w:eastAsia="en-US"/>
        </w:rPr>
        <w:t xml:space="preserve">ų </w:t>
      </w:r>
      <w:r w:rsidRPr="00730CC1">
        <w:rPr>
          <w:sz w:val="22"/>
          <w:lang w:eastAsia="en-US"/>
        </w:rPr>
        <w:t>pajam</w:t>
      </w:r>
      <w:r w:rsidRPr="00730CC1">
        <w:rPr>
          <w:rFonts w:cs="TimesNewRoman"/>
          <w:sz w:val="22"/>
          <w:lang w:eastAsia="en-US"/>
        </w:rPr>
        <w:t xml:space="preserve">ų </w:t>
      </w:r>
      <w:r w:rsidRPr="00730CC1">
        <w:rPr>
          <w:sz w:val="22"/>
          <w:lang w:eastAsia="en-US"/>
        </w:rPr>
        <w:t>apsaugos sistemos finansin</w:t>
      </w:r>
      <w:r w:rsidRPr="00730CC1">
        <w:rPr>
          <w:rFonts w:cs="TimesNewRoman"/>
          <w:sz w:val="22"/>
          <w:lang w:eastAsia="en-US"/>
        </w:rPr>
        <w:t xml:space="preserve">į </w:t>
      </w:r>
      <w:r w:rsidRPr="00730CC1">
        <w:rPr>
          <w:sz w:val="22"/>
          <w:lang w:eastAsia="en-US"/>
        </w:rPr>
        <w:t>stabilum</w:t>
      </w:r>
      <w:r w:rsidRPr="00730CC1">
        <w:rPr>
          <w:rFonts w:cs="TimesNewRoman"/>
          <w:sz w:val="22"/>
          <w:lang w:eastAsia="en-US"/>
        </w:rPr>
        <w:t>ą</w:t>
      </w:r>
      <w:r w:rsidRPr="00730CC1">
        <w:rPr>
          <w:sz w:val="22"/>
          <w:lang w:eastAsia="en-US"/>
        </w:rPr>
        <w:t>;</w:t>
      </w:r>
    </w:p>
    <w:p w14:paraId="7157C610" w14:textId="7D2528EC" w:rsidR="00B7523B" w:rsidRPr="00730CC1" w:rsidRDefault="00596FDB" w:rsidP="00767E0C">
      <w:pPr>
        <w:numPr>
          <w:ilvl w:val="0"/>
          <w:numId w:val="19"/>
        </w:numPr>
        <w:autoSpaceDE w:val="0"/>
        <w:autoSpaceDN w:val="0"/>
        <w:adjustRightInd w:val="0"/>
        <w:spacing w:line="240" w:lineRule="auto"/>
        <w:jc w:val="both"/>
        <w:rPr>
          <w:sz w:val="22"/>
          <w:lang w:eastAsia="en-US"/>
        </w:rPr>
      </w:pPr>
      <w:r w:rsidRPr="00730CC1">
        <w:rPr>
          <w:sz w:val="22"/>
          <w:lang w:eastAsia="en-US"/>
        </w:rPr>
        <w:t>gerinti gyvenamosios aplinkos kokyb</w:t>
      </w:r>
      <w:r w:rsidRPr="00730CC1">
        <w:rPr>
          <w:rFonts w:cs="TimesNewRoman"/>
          <w:sz w:val="22"/>
          <w:lang w:eastAsia="en-US"/>
        </w:rPr>
        <w:t xml:space="preserve">ę </w:t>
      </w:r>
      <w:r w:rsidRPr="00730CC1">
        <w:rPr>
          <w:sz w:val="22"/>
          <w:lang w:eastAsia="en-US"/>
        </w:rPr>
        <w:t>ir didinti vieš</w:t>
      </w:r>
      <w:r w:rsidRPr="00730CC1">
        <w:rPr>
          <w:rFonts w:cs="TimesNewRoman"/>
          <w:sz w:val="22"/>
          <w:lang w:eastAsia="en-US"/>
        </w:rPr>
        <w:t>ų</w:t>
      </w:r>
      <w:r w:rsidRPr="00730CC1">
        <w:rPr>
          <w:sz w:val="22"/>
          <w:lang w:eastAsia="en-US"/>
        </w:rPr>
        <w:t>j</w:t>
      </w:r>
      <w:r w:rsidRPr="00730CC1">
        <w:rPr>
          <w:rFonts w:cs="TimesNewRoman"/>
          <w:sz w:val="22"/>
          <w:lang w:eastAsia="en-US"/>
        </w:rPr>
        <w:t xml:space="preserve">ų </w:t>
      </w:r>
      <w:r w:rsidRPr="00730CC1">
        <w:rPr>
          <w:sz w:val="22"/>
          <w:lang w:eastAsia="en-US"/>
        </w:rPr>
        <w:t>paslaug</w:t>
      </w:r>
      <w:r w:rsidRPr="00730CC1">
        <w:rPr>
          <w:rFonts w:cs="TimesNewRoman"/>
          <w:sz w:val="22"/>
          <w:lang w:eastAsia="en-US"/>
        </w:rPr>
        <w:t xml:space="preserve">ų </w:t>
      </w:r>
      <w:r w:rsidRPr="00730CC1">
        <w:rPr>
          <w:sz w:val="22"/>
          <w:lang w:eastAsia="en-US"/>
        </w:rPr>
        <w:t>prieinamum</w:t>
      </w:r>
      <w:r w:rsidRPr="00730CC1">
        <w:rPr>
          <w:rFonts w:cs="TimesNewRoman"/>
          <w:sz w:val="22"/>
          <w:lang w:eastAsia="en-US"/>
        </w:rPr>
        <w:t>ą.</w:t>
      </w:r>
    </w:p>
    <w:p w14:paraId="47572BB8" w14:textId="77777777" w:rsidR="00767E0C" w:rsidRPr="00730CC1" w:rsidRDefault="00767E0C" w:rsidP="0009258A">
      <w:pPr>
        <w:jc w:val="both"/>
        <w:rPr>
          <w:sz w:val="22"/>
        </w:rPr>
      </w:pPr>
    </w:p>
    <w:p w14:paraId="597760E1" w14:textId="1B6991F5" w:rsidR="0009258A" w:rsidRPr="00730CC1" w:rsidRDefault="0009258A" w:rsidP="00440F15">
      <w:pPr>
        <w:ind w:left="363"/>
        <w:jc w:val="both"/>
        <w:rPr>
          <w:sz w:val="22"/>
        </w:rPr>
      </w:pPr>
      <w:r w:rsidRPr="00730CC1">
        <w:rPr>
          <w:sz w:val="22"/>
        </w:rPr>
        <w:t xml:space="preserve">ES ir nacionalinių strateginių tikslų ir intervencijų kontekste Europos pagalbos labiausiai skurstantiems asmenims fondas remia pagalbą, kuri turėtų padėti asmenims išsivaduoti </w:t>
      </w:r>
      <w:r w:rsidR="00730CC1">
        <w:rPr>
          <w:sz w:val="22"/>
        </w:rPr>
        <w:t>iš itin didelio skurdo, patenki</w:t>
      </w:r>
      <w:r w:rsidRPr="00730CC1">
        <w:rPr>
          <w:sz w:val="22"/>
        </w:rPr>
        <w:t>n</w:t>
      </w:r>
      <w:r w:rsidR="00730CC1">
        <w:rPr>
          <w:sz w:val="22"/>
        </w:rPr>
        <w:t>an</w:t>
      </w:r>
      <w:r w:rsidRPr="00730CC1">
        <w:rPr>
          <w:sz w:val="22"/>
        </w:rPr>
        <w:t xml:space="preserve">t esminius poreikius ir sudarant prielaidas jiems lengviau įsitraukti į užimtumo ir socialinės įtraukties skatinimo veiklas. </w:t>
      </w:r>
      <w:r w:rsidR="00CD61AA" w:rsidRPr="00730CC1">
        <w:rPr>
          <w:sz w:val="22"/>
        </w:rPr>
        <w:t xml:space="preserve">Tad </w:t>
      </w:r>
      <w:r w:rsidR="00B64D98" w:rsidRPr="00730CC1">
        <w:rPr>
          <w:sz w:val="22"/>
        </w:rPr>
        <w:t xml:space="preserve">vertinamame </w:t>
      </w:r>
      <w:r w:rsidR="00CD61AA" w:rsidRPr="00730CC1">
        <w:rPr>
          <w:sz w:val="22"/>
        </w:rPr>
        <w:t>Fondo veiksmų programos</w:t>
      </w:r>
      <w:r w:rsidRPr="00730CC1">
        <w:rPr>
          <w:sz w:val="22"/>
        </w:rPr>
        <w:t xml:space="preserve"> </w:t>
      </w:r>
      <w:r w:rsidR="00CD61AA" w:rsidRPr="00730CC1">
        <w:rPr>
          <w:sz w:val="22"/>
        </w:rPr>
        <w:t xml:space="preserve">2014–2020 m. </w:t>
      </w:r>
      <w:r w:rsidRPr="00730CC1">
        <w:rPr>
          <w:sz w:val="22"/>
        </w:rPr>
        <w:t xml:space="preserve">projekte suplanuotos veiklos (parama maisto produktais ir </w:t>
      </w:r>
      <w:r w:rsidR="00CD61AA" w:rsidRPr="00730CC1">
        <w:rPr>
          <w:sz w:val="22"/>
        </w:rPr>
        <w:t>higienos</w:t>
      </w:r>
      <w:r w:rsidRPr="00730CC1">
        <w:rPr>
          <w:sz w:val="22"/>
        </w:rPr>
        <w:t xml:space="preserve"> prekėmis) yra </w:t>
      </w:r>
      <w:r w:rsidR="0076559A" w:rsidRPr="00730CC1">
        <w:rPr>
          <w:sz w:val="22"/>
        </w:rPr>
        <w:t>tik viena iš daugelio priemonių, nukreiptų į skurdo mažinimą.</w:t>
      </w:r>
      <w:r w:rsidR="00F54E67" w:rsidRPr="00730CC1">
        <w:rPr>
          <w:sz w:val="22"/>
        </w:rPr>
        <w:t xml:space="preserve"> </w:t>
      </w:r>
      <w:r w:rsidR="00F54E67" w:rsidRPr="00DF57DD">
        <w:rPr>
          <w:sz w:val="22"/>
        </w:rPr>
        <w:t>Atsižvelgiant į tai, kad dažniausiai skurdo riziką patiria nedirbančių asmenų namų ūkiai, taip pat vieniši vaikus auginantys asmen</w:t>
      </w:r>
      <w:r w:rsidR="00F13617" w:rsidRPr="00DF57DD">
        <w:rPr>
          <w:sz w:val="22"/>
        </w:rPr>
        <w:t>y</w:t>
      </w:r>
      <w:r w:rsidR="00F54E67" w:rsidRPr="00DF57DD">
        <w:rPr>
          <w:sz w:val="22"/>
        </w:rPr>
        <w:t>s</w:t>
      </w:r>
      <w:r w:rsidR="008A4F72" w:rsidRPr="00DF57DD">
        <w:rPr>
          <w:sz w:val="22"/>
        </w:rPr>
        <w:t xml:space="preserve"> ir</w:t>
      </w:r>
      <w:r w:rsidR="00F54E67" w:rsidRPr="00DF57DD">
        <w:rPr>
          <w:sz w:val="22"/>
        </w:rPr>
        <w:t xml:space="preserve"> kaimo gyventojai, </w:t>
      </w:r>
      <w:r w:rsidR="00C234B2" w:rsidRPr="00DF57DD">
        <w:rPr>
          <w:sz w:val="22"/>
        </w:rPr>
        <w:t xml:space="preserve">didžiausią potencialą, </w:t>
      </w:r>
      <w:r w:rsidR="00F54E67" w:rsidRPr="00DF57DD">
        <w:rPr>
          <w:sz w:val="22"/>
        </w:rPr>
        <w:t xml:space="preserve">siekiant strateginių skurdo mažinimo tikslų, turi </w:t>
      </w:r>
      <w:r w:rsidR="00A93E40" w:rsidRPr="00DF57DD">
        <w:rPr>
          <w:sz w:val="22"/>
        </w:rPr>
        <w:t>užimtumo ir socialinės įtraukties skatinimo bei viešųjų paslaugų prieinamumo didinimo veiklos, taip pat efektyvi piniginės socialinės paramos sistema.</w:t>
      </w:r>
      <w:r w:rsidR="00A93E40" w:rsidRPr="00730CC1">
        <w:rPr>
          <w:sz w:val="22"/>
        </w:rPr>
        <w:t xml:space="preserve"> Šios sritys atitinka ir Europos Komisijos </w:t>
      </w:r>
      <w:r w:rsidR="00CF281A" w:rsidRPr="00730CC1">
        <w:rPr>
          <w:sz w:val="22"/>
        </w:rPr>
        <w:t xml:space="preserve">parengtų ES Tarybos </w:t>
      </w:r>
      <w:r w:rsidR="00A93E40" w:rsidRPr="00730CC1">
        <w:rPr>
          <w:sz w:val="22"/>
        </w:rPr>
        <w:t>r</w:t>
      </w:r>
      <w:r w:rsidR="00CF281A" w:rsidRPr="00730CC1">
        <w:rPr>
          <w:sz w:val="22"/>
        </w:rPr>
        <w:t>ekomendacijų</w:t>
      </w:r>
      <w:r w:rsidR="00A93E40" w:rsidRPr="00730CC1">
        <w:rPr>
          <w:sz w:val="22"/>
        </w:rPr>
        <w:t xml:space="preserve"> Lietuvai </w:t>
      </w:r>
      <w:r w:rsidR="00CF281A" w:rsidRPr="00730CC1">
        <w:rPr>
          <w:sz w:val="22"/>
        </w:rPr>
        <w:t xml:space="preserve">projekte </w:t>
      </w:r>
      <w:r w:rsidR="00A93E40" w:rsidRPr="00730CC1">
        <w:rPr>
          <w:sz w:val="22"/>
        </w:rPr>
        <w:t>nustatytus iššūkius</w:t>
      </w:r>
      <w:r w:rsidR="00CF281A" w:rsidRPr="00730CC1">
        <w:rPr>
          <w:rStyle w:val="FootnoteReference"/>
          <w:sz w:val="22"/>
        </w:rPr>
        <w:footnoteReference w:id="14"/>
      </w:r>
      <w:r w:rsidR="00CF281A" w:rsidRPr="00730CC1">
        <w:rPr>
          <w:sz w:val="22"/>
        </w:rPr>
        <w:t>.</w:t>
      </w:r>
      <w:r w:rsidR="00A9571E" w:rsidRPr="00730CC1">
        <w:rPr>
          <w:sz w:val="22"/>
        </w:rPr>
        <w:t xml:space="preserve"> </w:t>
      </w:r>
      <w:r w:rsidR="00B12606" w:rsidRPr="00730CC1">
        <w:rPr>
          <w:sz w:val="22"/>
        </w:rPr>
        <w:t xml:space="preserve">Fondo teikiama nefinansinė parama </w:t>
      </w:r>
      <w:r w:rsidR="00A9571E" w:rsidRPr="00730CC1">
        <w:rPr>
          <w:sz w:val="22"/>
        </w:rPr>
        <w:t xml:space="preserve">gali tik </w:t>
      </w:r>
      <w:r w:rsidR="00B12606" w:rsidRPr="00730CC1">
        <w:rPr>
          <w:sz w:val="22"/>
        </w:rPr>
        <w:t>netiesiogiai paveikti sunkaus materialinio nepritekliaus rodiklį, sumažindama namų ūkių, negalinčių sau leisti bent kas antrą dieną valgyti mėsos, žuvies ar analogiško vegetariško maisto</w:t>
      </w:r>
      <w:r w:rsidR="00146BB7" w:rsidRPr="00730CC1">
        <w:rPr>
          <w:sz w:val="22"/>
        </w:rPr>
        <w:t xml:space="preserve">, </w:t>
      </w:r>
      <w:r w:rsidR="00044A37">
        <w:rPr>
          <w:sz w:val="22"/>
        </w:rPr>
        <w:t xml:space="preserve">skaičių </w:t>
      </w:r>
      <w:r w:rsidR="00146BB7" w:rsidRPr="00730CC1">
        <w:rPr>
          <w:sz w:val="22"/>
        </w:rPr>
        <w:t>arba</w:t>
      </w:r>
      <w:r w:rsidR="004C2491" w:rsidRPr="00730CC1">
        <w:rPr>
          <w:sz w:val="22"/>
        </w:rPr>
        <w:t xml:space="preserve"> leisdama</w:t>
      </w:r>
      <w:r w:rsidR="00146BB7" w:rsidRPr="00730CC1">
        <w:rPr>
          <w:sz w:val="22"/>
        </w:rPr>
        <w:t xml:space="preserve"> žmonėms </w:t>
      </w:r>
      <w:r w:rsidR="0049725D" w:rsidRPr="00730CC1">
        <w:rPr>
          <w:sz w:val="22"/>
        </w:rPr>
        <w:t xml:space="preserve">dėl gautos nefinansinės paramos </w:t>
      </w:r>
      <w:r w:rsidR="00146BB7" w:rsidRPr="00730CC1">
        <w:rPr>
          <w:sz w:val="22"/>
        </w:rPr>
        <w:t>sutaupytas lėšas</w:t>
      </w:r>
      <w:r w:rsidR="0049725D" w:rsidRPr="00730CC1">
        <w:rPr>
          <w:sz w:val="22"/>
        </w:rPr>
        <w:t xml:space="preserve"> panaudoti kitoms reikmėms. </w:t>
      </w:r>
      <w:r w:rsidR="003A4B27" w:rsidRPr="00730CC1">
        <w:rPr>
          <w:sz w:val="22"/>
        </w:rPr>
        <w:t xml:space="preserve"> </w:t>
      </w:r>
    </w:p>
    <w:p w14:paraId="5B09E6D2" w14:textId="77777777" w:rsidR="00CF281A" w:rsidRPr="00730CC1" w:rsidRDefault="00CF281A" w:rsidP="0009258A">
      <w:pPr>
        <w:jc w:val="both"/>
        <w:rPr>
          <w:sz w:val="22"/>
        </w:rPr>
      </w:pPr>
    </w:p>
    <w:tbl>
      <w:tblPr>
        <w:tblStyle w:val="VPVILentele1"/>
        <w:tblW w:w="0" w:type="auto"/>
        <w:tblInd w:w="534" w:type="dxa"/>
        <w:tblLook w:val="04A0" w:firstRow="1" w:lastRow="0" w:firstColumn="1" w:lastColumn="0" w:noHBand="0" w:noVBand="1"/>
      </w:tblPr>
      <w:tblGrid>
        <w:gridCol w:w="9768"/>
      </w:tblGrid>
      <w:tr w:rsidR="006864BC" w:rsidRPr="00730CC1" w14:paraId="03D93E99" w14:textId="77777777" w:rsidTr="00440F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68" w:type="dxa"/>
          </w:tcPr>
          <w:p w14:paraId="011E5616" w14:textId="5804E9E5" w:rsidR="006864BC" w:rsidRPr="00730CC1" w:rsidRDefault="006864BC" w:rsidP="001B2584">
            <w:pPr>
              <w:jc w:val="both"/>
              <w:rPr>
                <w:sz w:val="22"/>
              </w:rPr>
            </w:pPr>
            <w:r w:rsidRPr="00730CC1">
              <w:rPr>
                <w:sz w:val="22"/>
              </w:rPr>
              <w:t>Atsižvelgta</w:t>
            </w:r>
            <w:r w:rsidR="00044A37">
              <w:rPr>
                <w:sz w:val="22"/>
              </w:rPr>
              <w:t> </w:t>
            </w:r>
          </w:p>
        </w:tc>
      </w:tr>
      <w:tr w:rsidR="006864BC" w:rsidRPr="00730CC1" w14:paraId="686FA7F4" w14:textId="77777777" w:rsidTr="00440F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8" w:type="dxa"/>
          </w:tcPr>
          <w:p w14:paraId="40431454" w14:textId="6E9EFFF1" w:rsidR="006864BC" w:rsidRPr="00730CC1" w:rsidRDefault="00396D8A" w:rsidP="000F7820">
            <w:pPr>
              <w:jc w:val="both"/>
              <w:rPr>
                <w:sz w:val="22"/>
              </w:rPr>
            </w:pPr>
            <w:r w:rsidRPr="00730CC1">
              <w:rPr>
                <w:b/>
                <w:sz w:val="22"/>
              </w:rPr>
              <w:t>1 rekomendacija.</w:t>
            </w:r>
            <w:r w:rsidRPr="00730CC1">
              <w:rPr>
                <w:sz w:val="22"/>
              </w:rPr>
              <w:t xml:space="preserve"> </w:t>
            </w:r>
            <w:r w:rsidR="006864BC" w:rsidRPr="008749AC">
              <w:rPr>
                <w:sz w:val="22"/>
              </w:rPr>
              <w:t>Aprašant esamą situaciją</w:t>
            </w:r>
            <w:r w:rsidR="00C234B2">
              <w:rPr>
                <w:sz w:val="22"/>
              </w:rPr>
              <w:t>,</w:t>
            </w:r>
            <w:r w:rsidR="006864BC" w:rsidRPr="008749AC">
              <w:rPr>
                <w:sz w:val="22"/>
              </w:rPr>
              <w:t xml:space="preserve"> VP tekste svarbu pabrėžti,</w:t>
            </w:r>
            <w:r w:rsidR="006864BC" w:rsidRPr="00730CC1">
              <w:rPr>
                <w:sz w:val="22"/>
              </w:rPr>
              <w:t xml:space="preserve"> kad didžiausią poveikį</w:t>
            </w:r>
            <w:r w:rsidR="00044A37">
              <w:rPr>
                <w:sz w:val="22"/>
              </w:rPr>
              <w:t>,</w:t>
            </w:r>
            <w:r w:rsidR="006864BC" w:rsidRPr="00730CC1">
              <w:rPr>
                <w:sz w:val="22"/>
              </w:rPr>
              <w:t xml:space="preserve"> siekiant strateginio „Europa 2020“ tikslo sumažinti skurde ar socialinėje atskirtyje gyvenančių arba tokią riziką patiriančių žmonių skaičių</w:t>
            </w:r>
            <w:r w:rsidR="00044A37">
              <w:rPr>
                <w:sz w:val="22"/>
              </w:rPr>
              <w:t>,</w:t>
            </w:r>
            <w:r w:rsidR="006864BC" w:rsidRPr="00730CC1">
              <w:rPr>
                <w:sz w:val="22"/>
              </w:rPr>
              <w:t xml:space="preserve"> turės </w:t>
            </w:r>
            <w:r w:rsidR="000F7820" w:rsidRPr="00730CC1">
              <w:rPr>
                <w:sz w:val="22"/>
              </w:rPr>
              <w:t xml:space="preserve">iš kitų šaltinių (ES ir nacionalinių) finansuojamos </w:t>
            </w:r>
            <w:r w:rsidR="006864BC" w:rsidRPr="00730CC1">
              <w:rPr>
                <w:sz w:val="22"/>
              </w:rPr>
              <w:t xml:space="preserve">užimtumo ir socialinės įtraukties skatinimo bei viešųjų paslaugų prieinamumo didinimo veiklos, taip </w:t>
            </w:r>
            <w:r w:rsidR="006864BC" w:rsidRPr="00730CC1">
              <w:rPr>
                <w:sz w:val="22"/>
              </w:rPr>
              <w:lastRenderedPageBreak/>
              <w:t>pat efektyvi piniginės socialinės paramos sistema. Fondo teikiama nefinansinė parama gali tik netiesiogiai</w:t>
            </w:r>
            <w:r w:rsidR="001A3A85" w:rsidRPr="00730CC1">
              <w:rPr>
                <w:sz w:val="22"/>
              </w:rPr>
              <w:t xml:space="preserve"> palengvinti didelį materialinį nepriteklių patiriančių asmenų gyvenimo sąlygas, sumažindama jų išlaidas maisto produktams ir</w:t>
            </w:r>
            <w:r w:rsidR="00044A37">
              <w:rPr>
                <w:sz w:val="22"/>
              </w:rPr>
              <w:t> </w:t>
            </w:r>
            <w:r w:rsidR="001A3A85" w:rsidRPr="00730CC1">
              <w:rPr>
                <w:sz w:val="22"/>
              </w:rPr>
              <w:t>/</w:t>
            </w:r>
            <w:r w:rsidR="00044A37">
              <w:rPr>
                <w:sz w:val="22"/>
              </w:rPr>
              <w:t> </w:t>
            </w:r>
            <w:r w:rsidR="001A3A85" w:rsidRPr="00730CC1">
              <w:rPr>
                <w:sz w:val="22"/>
              </w:rPr>
              <w:t>ar būtinojo vartojimo prekėms arba pagerindama vartojamų produktų maistinę vertę.</w:t>
            </w:r>
          </w:p>
        </w:tc>
      </w:tr>
    </w:tbl>
    <w:p w14:paraId="53CC77B8" w14:textId="77777777" w:rsidR="0009258A" w:rsidRPr="00730CC1" w:rsidRDefault="0009258A" w:rsidP="0009258A"/>
    <w:p w14:paraId="07E3678A" w14:textId="5A413008" w:rsidR="00767E0C" w:rsidRPr="00730CC1" w:rsidRDefault="00767E0C" w:rsidP="00767E0C">
      <w:pPr>
        <w:pStyle w:val="Default"/>
        <w:numPr>
          <w:ilvl w:val="0"/>
          <w:numId w:val="21"/>
        </w:numPr>
        <w:jc w:val="both"/>
        <w:rPr>
          <w:rFonts w:asciiTheme="majorHAnsi" w:hAnsiTheme="majorHAnsi"/>
        </w:rPr>
      </w:pPr>
      <w:r w:rsidRPr="00730CC1">
        <w:rPr>
          <w:rFonts w:asciiTheme="majorHAnsi" w:hAnsiTheme="majorHAnsi"/>
          <w:color w:val="036575" w:themeColor="accent5" w:themeTint="E6"/>
        </w:rPr>
        <w:t xml:space="preserve">Ar veiksmų programos projekto loginis pagrindas yra aiškus ir nuoseklus? Ar veiksmų programos projekte nustatytos materialinio nepritekliaus rūšys yra tinkamos? </w:t>
      </w:r>
    </w:p>
    <w:p w14:paraId="7F4B5406" w14:textId="77777777" w:rsidR="00767E0C" w:rsidRPr="00730CC1" w:rsidRDefault="00767E0C" w:rsidP="00767E0C">
      <w:pPr>
        <w:jc w:val="both"/>
        <w:rPr>
          <w:sz w:val="22"/>
        </w:rPr>
      </w:pPr>
    </w:p>
    <w:p w14:paraId="513D3C1D" w14:textId="4AD36791" w:rsidR="00052876" w:rsidRPr="00730CC1" w:rsidRDefault="00ED3D5F" w:rsidP="00440F15">
      <w:pPr>
        <w:spacing w:after="240"/>
        <w:ind w:left="363"/>
        <w:jc w:val="both"/>
        <w:rPr>
          <w:sz w:val="22"/>
        </w:rPr>
      </w:pPr>
      <w:r w:rsidRPr="00730CC1">
        <w:rPr>
          <w:sz w:val="22"/>
        </w:rPr>
        <w:t xml:space="preserve">Europos pagalbos labiausiai skurstantiems asmenims fondas </w:t>
      </w:r>
      <w:r w:rsidR="00B64D98" w:rsidRPr="00730CC1">
        <w:rPr>
          <w:sz w:val="22"/>
        </w:rPr>
        <w:t xml:space="preserve">pagal I tipo veiksmų programas </w:t>
      </w:r>
      <w:r w:rsidRPr="00730CC1">
        <w:rPr>
          <w:sz w:val="22"/>
        </w:rPr>
        <w:t>remia</w:t>
      </w:r>
      <w:r w:rsidR="00B64D98" w:rsidRPr="00730CC1">
        <w:rPr>
          <w:sz w:val="22"/>
        </w:rPr>
        <w:t xml:space="preserve"> maisto produktų ir materialinės pagalbos (pagrindinio vartojimo prekių) teikimą labiausiai skurstantiems asmenims ir šią veiklą papildančias priemones (pvz.</w:t>
      </w:r>
      <w:r w:rsidR="00044A37">
        <w:rPr>
          <w:sz w:val="22"/>
        </w:rPr>
        <w:t>,</w:t>
      </w:r>
      <w:r w:rsidR="00B64D98" w:rsidRPr="00730CC1">
        <w:rPr>
          <w:sz w:val="22"/>
        </w:rPr>
        <w:t xml:space="preserve"> konsultacijas subalansuotos mitybos ar biudžeto sudarymo klausimais), taip pat gali remti veiklą, susijusią su dovanotų maisto produktų surinkimu, transportu, sandėliavimu ir skirstymu.</w:t>
      </w:r>
      <w:r w:rsidRPr="00730CC1">
        <w:rPr>
          <w:sz w:val="22"/>
        </w:rPr>
        <w:t xml:space="preserve"> </w:t>
      </w:r>
      <w:r w:rsidR="00B64D98" w:rsidRPr="00730CC1">
        <w:rPr>
          <w:sz w:val="22"/>
        </w:rPr>
        <w:t>Atsižvelgiant į tai, kad didžioji dalis žemiau skurdo rizikos ribos gyvenančių asmenų susiduria ir su didelio materialinio nepritekliaus problema</w:t>
      </w:r>
      <w:r w:rsidR="00052876" w:rsidRPr="00730CC1">
        <w:rPr>
          <w:sz w:val="22"/>
        </w:rPr>
        <w:t xml:space="preserve">, Fondo veiksmų programos projekte numatytos finansuoti  veiklos – parama maisto produktais ir pagrindinio vartojimo prekėmis (higienos priemonėmis) – atitinka situacijos </w:t>
      </w:r>
      <w:r w:rsidR="005E6D59" w:rsidRPr="00730CC1">
        <w:rPr>
          <w:sz w:val="22"/>
        </w:rPr>
        <w:t>analizėje nustatytas problemas ir iš dalies prisideda prie pagrindinio strateginio tikslo – sumažinti skurdą ir socialinę atskirtį.</w:t>
      </w:r>
      <w:r w:rsidR="006C1FA9" w:rsidRPr="00730CC1">
        <w:rPr>
          <w:sz w:val="22"/>
        </w:rPr>
        <w:t xml:space="preserve"> </w:t>
      </w:r>
    </w:p>
    <w:p w14:paraId="3536F00A" w14:textId="2B3910C0" w:rsidR="00596FDB" w:rsidRPr="00730CC1" w:rsidRDefault="00596FDB" w:rsidP="00440F15">
      <w:pPr>
        <w:spacing w:after="240"/>
        <w:ind w:left="363"/>
        <w:jc w:val="both"/>
        <w:rPr>
          <w:sz w:val="22"/>
        </w:rPr>
      </w:pPr>
      <w:r w:rsidRPr="00730CC1">
        <w:rPr>
          <w:sz w:val="22"/>
        </w:rPr>
        <w:t>2006</w:t>
      </w:r>
      <w:r w:rsidR="00547417">
        <w:t>–</w:t>
      </w:r>
      <w:r w:rsidRPr="00730CC1">
        <w:rPr>
          <w:sz w:val="22"/>
        </w:rPr>
        <w:t xml:space="preserve">2013 m. Lietuvoje vykdytos </w:t>
      </w:r>
      <w:r w:rsidRPr="00730CC1">
        <w:rPr>
          <w:rFonts w:cs="Arial"/>
          <w:sz w:val="22"/>
        </w:rPr>
        <w:t>Maisto iš intervencinių atsargų tiekimo labiausiai nepasiturintiems asme</w:t>
      </w:r>
      <w:r w:rsidR="00D225BC" w:rsidRPr="00730CC1">
        <w:rPr>
          <w:rFonts w:cs="Arial"/>
          <w:sz w:val="22"/>
        </w:rPr>
        <w:t>nims programos įgyvendinimo duo</w:t>
      </w:r>
      <w:r w:rsidRPr="00730CC1">
        <w:rPr>
          <w:rFonts w:cs="Arial"/>
          <w:sz w:val="22"/>
        </w:rPr>
        <w:t xml:space="preserve">menys rodo, </w:t>
      </w:r>
      <w:r w:rsidRPr="00DF57DD">
        <w:rPr>
          <w:rFonts w:cs="Arial"/>
          <w:sz w:val="22"/>
        </w:rPr>
        <w:t>kad skurstančių asmenų</w:t>
      </w:r>
      <w:r w:rsidR="00120124" w:rsidRPr="00DF57DD">
        <w:rPr>
          <w:rFonts w:cs="Arial"/>
          <w:sz w:val="22"/>
        </w:rPr>
        <w:t xml:space="preserve"> </w:t>
      </w:r>
      <w:r w:rsidRPr="00DF57DD">
        <w:rPr>
          <w:rFonts w:cs="Arial"/>
          <w:sz w:val="22"/>
        </w:rPr>
        <w:t>skaičius Lietuvoje</w:t>
      </w:r>
      <w:r w:rsidR="00DF57DD">
        <w:rPr>
          <w:rFonts w:cs="Arial"/>
          <w:sz w:val="22"/>
        </w:rPr>
        <w:t>,</w:t>
      </w:r>
      <w:r w:rsidRPr="00DF57DD">
        <w:rPr>
          <w:rFonts w:cs="Arial"/>
          <w:sz w:val="22"/>
        </w:rPr>
        <w:t xml:space="preserve"> nors ir lėtai mažėdamas, išlieka didelis.</w:t>
      </w:r>
      <w:r w:rsidRPr="00730CC1">
        <w:rPr>
          <w:rFonts w:cs="Arial"/>
          <w:sz w:val="22"/>
        </w:rPr>
        <w:t xml:space="preserve"> </w:t>
      </w:r>
      <w:r w:rsidRPr="00DF57DD">
        <w:rPr>
          <w:rFonts w:cs="Arial"/>
          <w:sz w:val="22"/>
        </w:rPr>
        <w:t>2013 m. asmenų</w:t>
      </w:r>
      <w:r w:rsidR="002B7E3D" w:rsidRPr="00DF57DD">
        <w:rPr>
          <w:rFonts w:cs="Arial"/>
          <w:sz w:val="22"/>
        </w:rPr>
        <w:t>,</w:t>
      </w:r>
      <w:r w:rsidRPr="00DF57DD">
        <w:rPr>
          <w:rFonts w:cs="Arial"/>
          <w:sz w:val="22"/>
        </w:rPr>
        <w:t xml:space="preserve"> ga</w:t>
      </w:r>
      <w:r w:rsidR="002B7E3D" w:rsidRPr="00DF57DD">
        <w:rPr>
          <w:rFonts w:cs="Arial"/>
          <w:sz w:val="22"/>
        </w:rPr>
        <w:t>vusių</w:t>
      </w:r>
      <w:r w:rsidRPr="00DF57DD">
        <w:rPr>
          <w:rFonts w:cs="Arial"/>
          <w:sz w:val="22"/>
        </w:rPr>
        <w:t xml:space="preserve"> paramą maisto produktais</w:t>
      </w:r>
      <w:r w:rsidR="002B7E3D" w:rsidRPr="00DF57DD">
        <w:rPr>
          <w:rFonts w:cs="Arial"/>
          <w:sz w:val="22"/>
        </w:rPr>
        <w:t>,</w:t>
      </w:r>
      <w:r w:rsidRPr="00DF57DD">
        <w:rPr>
          <w:rFonts w:cs="Arial"/>
          <w:sz w:val="22"/>
        </w:rPr>
        <w:t xml:space="preserve"> skaičius svyravo nuo 326 tūkst. met</w:t>
      </w:r>
      <w:r w:rsidR="0020353C">
        <w:rPr>
          <w:rFonts w:cs="Arial"/>
          <w:sz w:val="22"/>
        </w:rPr>
        <w:t>ų</w:t>
      </w:r>
      <w:r w:rsidRPr="00DF57DD">
        <w:rPr>
          <w:rFonts w:cs="Arial"/>
          <w:sz w:val="22"/>
        </w:rPr>
        <w:t xml:space="preserve"> pradžioje iki 390 tūkst. metų pabaigoje, i</w:t>
      </w:r>
      <w:r w:rsidRPr="005D34E8">
        <w:rPr>
          <w:rFonts w:cs="Arial"/>
          <w:sz w:val="22"/>
        </w:rPr>
        <w:t>r nors tai yra mažesni skaičiai nei ankstesniais metais, jie yra daugiau nei trečdaliu didesni nei 2007</w:t>
      </w:r>
      <w:r w:rsidR="00547417" w:rsidRPr="005D34E8">
        <w:t>–</w:t>
      </w:r>
      <w:r w:rsidRPr="005D34E8">
        <w:rPr>
          <w:rFonts w:cs="Arial"/>
          <w:sz w:val="22"/>
        </w:rPr>
        <w:t>2008 m. laikotarpiu prieš prasidedant ekonominiam sunkmečiui (žr. 3 lentelę).</w:t>
      </w:r>
    </w:p>
    <w:p w14:paraId="17A36D00" w14:textId="7BAD37AD" w:rsidR="00596FDB" w:rsidRPr="00730CC1" w:rsidRDefault="006D6B40" w:rsidP="00440F15">
      <w:pPr>
        <w:pStyle w:val="Caption"/>
        <w:ind w:left="363"/>
      </w:pPr>
      <w:r>
        <w:fldChar w:fldCharType="begin"/>
      </w:r>
      <w:r>
        <w:instrText xml:space="preserve"> SEQ Table \* ARABIC </w:instrText>
      </w:r>
      <w:r>
        <w:fldChar w:fldCharType="separate"/>
      </w:r>
      <w:bookmarkStart w:id="3" w:name="_Toc383493703"/>
      <w:r w:rsidR="002178EE">
        <w:rPr>
          <w:noProof/>
        </w:rPr>
        <w:t>3</w:t>
      </w:r>
      <w:r>
        <w:rPr>
          <w:noProof/>
        </w:rPr>
        <w:fldChar w:fldCharType="end"/>
      </w:r>
      <w:r w:rsidR="00596FDB" w:rsidRPr="00730CC1">
        <w:t xml:space="preserve"> lentelė. Labiausiai skurstančių asmenų skaičiaus kitimas 2006</w:t>
      </w:r>
      <w:r w:rsidR="00547417">
        <w:t>–</w:t>
      </w:r>
      <w:r w:rsidR="00596FDB" w:rsidRPr="00730CC1">
        <w:t>2013 m.</w:t>
      </w:r>
      <w:bookmarkEnd w:id="3"/>
    </w:p>
    <w:tbl>
      <w:tblPr>
        <w:tblW w:w="95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60"/>
        <w:gridCol w:w="1080"/>
        <w:gridCol w:w="1023"/>
        <w:gridCol w:w="1047"/>
        <w:gridCol w:w="990"/>
        <w:gridCol w:w="990"/>
        <w:gridCol w:w="1080"/>
        <w:gridCol w:w="1260"/>
      </w:tblGrid>
      <w:tr w:rsidR="00596FDB" w:rsidRPr="00730CC1" w14:paraId="253965FD" w14:textId="77777777" w:rsidTr="00440F15">
        <w:trPr>
          <w:trHeight w:val="315"/>
        </w:trPr>
        <w:tc>
          <w:tcPr>
            <w:tcW w:w="1134" w:type="dxa"/>
            <w:vMerge w:val="restart"/>
            <w:shd w:val="clear" w:color="auto" w:fill="00505E"/>
            <w:vAlign w:val="center"/>
            <w:hideMark/>
          </w:tcPr>
          <w:p w14:paraId="739969C5" w14:textId="77777777" w:rsidR="00596FDB" w:rsidRPr="00730CC1" w:rsidRDefault="00596FDB" w:rsidP="00F43244">
            <w:pPr>
              <w:spacing w:line="240" w:lineRule="auto"/>
              <w:contextualSpacing/>
              <w:rPr>
                <w:rFonts w:ascii="Times New Roman" w:hAnsi="Times New Roman"/>
                <w:b/>
                <w:color w:val="FFFFFF"/>
                <w:sz w:val="20"/>
                <w:szCs w:val="20"/>
                <w:lang w:eastAsia="en-US"/>
              </w:rPr>
            </w:pPr>
            <w:r w:rsidRPr="00730CC1">
              <w:rPr>
                <w:rFonts w:ascii="Times New Roman" w:hAnsi="Times New Roman"/>
                <w:b/>
                <w:color w:val="FFFFFF"/>
                <w:sz w:val="20"/>
                <w:szCs w:val="20"/>
                <w:lang w:eastAsia="en-US"/>
              </w:rPr>
              <w:t>Mėnuo</w:t>
            </w:r>
          </w:p>
        </w:tc>
        <w:tc>
          <w:tcPr>
            <w:tcW w:w="8430" w:type="dxa"/>
            <w:gridSpan w:val="8"/>
            <w:shd w:val="clear" w:color="auto" w:fill="00505E"/>
            <w:vAlign w:val="center"/>
            <w:hideMark/>
          </w:tcPr>
          <w:p w14:paraId="5F7BA36D" w14:textId="77777777" w:rsidR="00596FDB" w:rsidRPr="00730CC1" w:rsidRDefault="00596FDB" w:rsidP="00F43244">
            <w:pPr>
              <w:spacing w:line="240" w:lineRule="auto"/>
              <w:contextualSpacing/>
              <w:jc w:val="center"/>
              <w:rPr>
                <w:rFonts w:ascii="Times New Roman" w:hAnsi="Times New Roman"/>
                <w:b/>
                <w:color w:val="FFFFFF"/>
                <w:sz w:val="20"/>
                <w:szCs w:val="20"/>
                <w:lang w:eastAsia="en-US"/>
              </w:rPr>
            </w:pPr>
            <w:r w:rsidRPr="00730CC1">
              <w:rPr>
                <w:rFonts w:ascii="Times New Roman" w:hAnsi="Times New Roman"/>
                <w:b/>
                <w:color w:val="FFFFFF"/>
                <w:sz w:val="20"/>
                <w:szCs w:val="20"/>
                <w:lang w:eastAsia="en-US"/>
              </w:rPr>
              <w:t>Metai</w:t>
            </w:r>
          </w:p>
        </w:tc>
      </w:tr>
      <w:tr w:rsidR="00596FDB" w:rsidRPr="00730CC1" w14:paraId="00F7F7A7" w14:textId="77777777" w:rsidTr="00440F15">
        <w:trPr>
          <w:trHeight w:val="330"/>
        </w:trPr>
        <w:tc>
          <w:tcPr>
            <w:tcW w:w="1134" w:type="dxa"/>
            <w:vMerge/>
            <w:shd w:val="clear" w:color="auto" w:fill="F6E2A3"/>
            <w:vAlign w:val="center"/>
            <w:hideMark/>
          </w:tcPr>
          <w:p w14:paraId="260A6923"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p>
        </w:tc>
        <w:tc>
          <w:tcPr>
            <w:tcW w:w="960" w:type="dxa"/>
            <w:shd w:val="clear" w:color="auto" w:fill="F6E2A3"/>
            <w:noWrap/>
            <w:vAlign w:val="center"/>
            <w:hideMark/>
          </w:tcPr>
          <w:p w14:paraId="78702F77" w14:textId="77777777" w:rsidR="00596FDB" w:rsidRPr="00730CC1" w:rsidRDefault="00596FDB" w:rsidP="00F43244">
            <w:pPr>
              <w:spacing w:line="240" w:lineRule="auto"/>
              <w:contextualSpacing/>
              <w:jc w:val="center"/>
              <w:rPr>
                <w:rFonts w:ascii="Times New Roman" w:hAnsi="Times New Roman"/>
                <w:b/>
                <w:color w:val="000000"/>
                <w:sz w:val="20"/>
                <w:szCs w:val="20"/>
                <w:lang w:eastAsia="en-US"/>
              </w:rPr>
            </w:pPr>
            <w:r w:rsidRPr="00730CC1">
              <w:rPr>
                <w:rFonts w:ascii="Times New Roman" w:hAnsi="Times New Roman"/>
                <w:b/>
                <w:color w:val="000000"/>
                <w:sz w:val="20"/>
                <w:szCs w:val="20"/>
                <w:lang w:eastAsia="en-US"/>
              </w:rPr>
              <w:t>2006</w:t>
            </w:r>
          </w:p>
        </w:tc>
        <w:tc>
          <w:tcPr>
            <w:tcW w:w="1080" w:type="dxa"/>
            <w:shd w:val="clear" w:color="auto" w:fill="F6E2A3"/>
            <w:noWrap/>
            <w:vAlign w:val="center"/>
            <w:hideMark/>
          </w:tcPr>
          <w:p w14:paraId="02D9DA93" w14:textId="77777777" w:rsidR="00596FDB" w:rsidRPr="00730CC1" w:rsidRDefault="00596FDB" w:rsidP="00F43244">
            <w:pPr>
              <w:spacing w:line="240" w:lineRule="auto"/>
              <w:contextualSpacing/>
              <w:jc w:val="center"/>
              <w:rPr>
                <w:rFonts w:ascii="Times New Roman" w:hAnsi="Times New Roman"/>
                <w:b/>
                <w:color w:val="000000"/>
                <w:sz w:val="20"/>
                <w:szCs w:val="20"/>
                <w:lang w:eastAsia="en-US"/>
              </w:rPr>
            </w:pPr>
            <w:r w:rsidRPr="00730CC1">
              <w:rPr>
                <w:rFonts w:ascii="Times New Roman" w:hAnsi="Times New Roman"/>
                <w:b/>
                <w:color w:val="000000"/>
                <w:sz w:val="20"/>
                <w:szCs w:val="20"/>
                <w:lang w:eastAsia="en-US"/>
              </w:rPr>
              <w:t>2007</w:t>
            </w:r>
          </w:p>
        </w:tc>
        <w:tc>
          <w:tcPr>
            <w:tcW w:w="1023" w:type="dxa"/>
            <w:shd w:val="clear" w:color="auto" w:fill="F6E2A3"/>
            <w:noWrap/>
            <w:vAlign w:val="center"/>
            <w:hideMark/>
          </w:tcPr>
          <w:p w14:paraId="7AA2F3EB" w14:textId="77777777" w:rsidR="00596FDB" w:rsidRPr="00730CC1" w:rsidRDefault="00596FDB" w:rsidP="00F43244">
            <w:pPr>
              <w:spacing w:line="240" w:lineRule="auto"/>
              <w:contextualSpacing/>
              <w:jc w:val="center"/>
              <w:rPr>
                <w:rFonts w:ascii="Times New Roman" w:hAnsi="Times New Roman"/>
                <w:b/>
                <w:color w:val="000000"/>
                <w:sz w:val="20"/>
                <w:szCs w:val="20"/>
                <w:lang w:eastAsia="en-US"/>
              </w:rPr>
            </w:pPr>
            <w:r w:rsidRPr="00730CC1">
              <w:rPr>
                <w:rFonts w:ascii="Times New Roman" w:hAnsi="Times New Roman"/>
                <w:b/>
                <w:color w:val="000000"/>
                <w:sz w:val="20"/>
                <w:szCs w:val="20"/>
                <w:lang w:eastAsia="en-US"/>
              </w:rPr>
              <w:t>2008</w:t>
            </w:r>
          </w:p>
        </w:tc>
        <w:tc>
          <w:tcPr>
            <w:tcW w:w="1047" w:type="dxa"/>
            <w:shd w:val="clear" w:color="auto" w:fill="F6E2A3"/>
            <w:noWrap/>
            <w:vAlign w:val="center"/>
            <w:hideMark/>
          </w:tcPr>
          <w:p w14:paraId="58747941" w14:textId="77777777" w:rsidR="00596FDB" w:rsidRPr="00730CC1" w:rsidRDefault="00596FDB" w:rsidP="00F43244">
            <w:pPr>
              <w:spacing w:line="240" w:lineRule="auto"/>
              <w:contextualSpacing/>
              <w:jc w:val="center"/>
              <w:rPr>
                <w:rFonts w:ascii="Times New Roman" w:hAnsi="Times New Roman"/>
                <w:b/>
                <w:color w:val="000000"/>
                <w:sz w:val="20"/>
                <w:szCs w:val="20"/>
                <w:lang w:eastAsia="en-US"/>
              </w:rPr>
            </w:pPr>
            <w:r w:rsidRPr="00730CC1">
              <w:rPr>
                <w:rFonts w:ascii="Times New Roman" w:hAnsi="Times New Roman"/>
                <w:b/>
                <w:color w:val="000000"/>
                <w:sz w:val="20"/>
                <w:szCs w:val="20"/>
                <w:lang w:eastAsia="en-US"/>
              </w:rPr>
              <w:t>2009</w:t>
            </w:r>
          </w:p>
        </w:tc>
        <w:tc>
          <w:tcPr>
            <w:tcW w:w="990" w:type="dxa"/>
            <w:shd w:val="clear" w:color="auto" w:fill="F6E2A3"/>
            <w:noWrap/>
            <w:vAlign w:val="center"/>
            <w:hideMark/>
          </w:tcPr>
          <w:p w14:paraId="075C9F30" w14:textId="77777777" w:rsidR="00596FDB" w:rsidRPr="00730CC1" w:rsidRDefault="00596FDB" w:rsidP="00F43244">
            <w:pPr>
              <w:spacing w:line="240" w:lineRule="auto"/>
              <w:contextualSpacing/>
              <w:jc w:val="center"/>
              <w:rPr>
                <w:rFonts w:ascii="Times New Roman" w:hAnsi="Times New Roman"/>
                <w:b/>
                <w:color w:val="000000"/>
                <w:sz w:val="20"/>
                <w:szCs w:val="20"/>
                <w:lang w:eastAsia="en-US"/>
              </w:rPr>
            </w:pPr>
            <w:r w:rsidRPr="00730CC1">
              <w:rPr>
                <w:rFonts w:ascii="Times New Roman" w:hAnsi="Times New Roman"/>
                <w:b/>
                <w:color w:val="000000"/>
                <w:sz w:val="20"/>
                <w:szCs w:val="20"/>
                <w:lang w:eastAsia="en-US"/>
              </w:rPr>
              <w:t>2010</w:t>
            </w:r>
          </w:p>
        </w:tc>
        <w:tc>
          <w:tcPr>
            <w:tcW w:w="990" w:type="dxa"/>
            <w:shd w:val="clear" w:color="auto" w:fill="F6E2A3"/>
            <w:noWrap/>
            <w:vAlign w:val="center"/>
            <w:hideMark/>
          </w:tcPr>
          <w:p w14:paraId="0753AF7C" w14:textId="77777777" w:rsidR="00596FDB" w:rsidRPr="00730CC1" w:rsidRDefault="00596FDB" w:rsidP="00F43244">
            <w:pPr>
              <w:spacing w:line="240" w:lineRule="auto"/>
              <w:contextualSpacing/>
              <w:jc w:val="center"/>
              <w:rPr>
                <w:rFonts w:ascii="Times New Roman" w:hAnsi="Times New Roman"/>
                <w:b/>
                <w:color w:val="000000"/>
                <w:sz w:val="20"/>
                <w:szCs w:val="20"/>
                <w:lang w:eastAsia="en-US"/>
              </w:rPr>
            </w:pPr>
            <w:r w:rsidRPr="00730CC1">
              <w:rPr>
                <w:rFonts w:ascii="Times New Roman" w:hAnsi="Times New Roman"/>
                <w:b/>
                <w:color w:val="000000"/>
                <w:sz w:val="20"/>
                <w:szCs w:val="20"/>
                <w:lang w:eastAsia="en-US"/>
              </w:rPr>
              <w:t>2011</w:t>
            </w:r>
          </w:p>
        </w:tc>
        <w:tc>
          <w:tcPr>
            <w:tcW w:w="1080" w:type="dxa"/>
            <w:shd w:val="clear" w:color="auto" w:fill="F6E2A3"/>
            <w:noWrap/>
            <w:vAlign w:val="center"/>
            <w:hideMark/>
          </w:tcPr>
          <w:p w14:paraId="307FE09E" w14:textId="77777777" w:rsidR="00596FDB" w:rsidRPr="00730CC1" w:rsidRDefault="00596FDB" w:rsidP="00F43244">
            <w:pPr>
              <w:spacing w:line="240" w:lineRule="auto"/>
              <w:contextualSpacing/>
              <w:jc w:val="center"/>
              <w:rPr>
                <w:rFonts w:ascii="Times New Roman" w:hAnsi="Times New Roman"/>
                <w:b/>
                <w:color w:val="000000"/>
                <w:sz w:val="20"/>
                <w:szCs w:val="20"/>
                <w:lang w:eastAsia="en-US"/>
              </w:rPr>
            </w:pPr>
            <w:r w:rsidRPr="00730CC1">
              <w:rPr>
                <w:rFonts w:ascii="Times New Roman" w:hAnsi="Times New Roman"/>
                <w:b/>
                <w:color w:val="000000"/>
                <w:sz w:val="20"/>
                <w:szCs w:val="20"/>
                <w:lang w:eastAsia="en-US"/>
              </w:rPr>
              <w:t>2012</w:t>
            </w:r>
          </w:p>
        </w:tc>
        <w:tc>
          <w:tcPr>
            <w:tcW w:w="1260" w:type="dxa"/>
            <w:shd w:val="clear" w:color="auto" w:fill="F6E2A3"/>
            <w:noWrap/>
            <w:vAlign w:val="center"/>
            <w:hideMark/>
          </w:tcPr>
          <w:p w14:paraId="34D8EC8F" w14:textId="77777777" w:rsidR="00596FDB" w:rsidRPr="00730CC1" w:rsidRDefault="00596FDB" w:rsidP="00F43244">
            <w:pPr>
              <w:spacing w:line="240" w:lineRule="auto"/>
              <w:contextualSpacing/>
              <w:jc w:val="center"/>
              <w:rPr>
                <w:rFonts w:ascii="Times New Roman" w:hAnsi="Times New Roman"/>
                <w:b/>
                <w:color w:val="000000"/>
                <w:sz w:val="20"/>
                <w:szCs w:val="20"/>
                <w:lang w:eastAsia="en-US"/>
              </w:rPr>
            </w:pPr>
            <w:r w:rsidRPr="00730CC1">
              <w:rPr>
                <w:rFonts w:ascii="Times New Roman" w:hAnsi="Times New Roman"/>
                <w:b/>
                <w:color w:val="000000"/>
                <w:sz w:val="20"/>
                <w:szCs w:val="20"/>
                <w:lang w:eastAsia="en-US"/>
              </w:rPr>
              <w:t>2013</w:t>
            </w:r>
          </w:p>
        </w:tc>
      </w:tr>
      <w:tr w:rsidR="00596FDB" w:rsidRPr="00730CC1" w14:paraId="61C59D00" w14:textId="77777777" w:rsidTr="00440F15">
        <w:trPr>
          <w:trHeight w:val="315"/>
        </w:trPr>
        <w:tc>
          <w:tcPr>
            <w:tcW w:w="1134" w:type="dxa"/>
            <w:noWrap/>
            <w:vAlign w:val="center"/>
            <w:hideMark/>
          </w:tcPr>
          <w:p w14:paraId="43E48301" w14:textId="77777777" w:rsidR="00596FDB" w:rsidRPr="00730CC1" w:rsidRDefault="00596FDB" w:rsidP="00F43244">
            <w:pPr>
              <w:spacing w:line="240" w:lineRule="auto"/>
              <w:contextualSpacing/>
              <w:rPr>
                <w:rFonts w:ascii="Times New Roman" w:hAnsi="Times New Roman"/>
                <w:b/>
                <w:color w:val="000000"/>
                <w:sz w:val="20"/>
                <w:szCs w:val="20"/>
                <w:lang w:eastAsia="en-US"/>
              </w:rPr>
            </w:pPr>
            <w:r w:rsidRPr="00730CC1">
              <w:rPr>
                <w:rFonts w:ascii="Times New Roman" w:hAnsi="Times New Roman"/>
                <w:b/>
                <w:color w:val="000000"/>
                <w:sz w:val="20"/>
                <w:szCs w:val="20"/>
                <w:lang w:eastAsia="en-US"/>
              </w:rPr>
              <w:t>Sausis</w:t>
            </w:r>
          </w:p>
        </w:tc>
        <w:tc>
          <w:tcPr>
            <w:tcW w:w="960" w:type="dxa"/>
            <w:noWrap/>
            <w:vAlign w:val="center"/>
            <w:hideMark/>
          </w:tcPr>
          <w:p w14:paraId="3082A631"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p>
        </w:tc>
        <w:tc>
          <w:tcPr>
            <w:tcW w:w="1080" w:type="dxa"/>
            <w:noWrap/>
            <w:vAlign w:val="center"/>
            <w:hideMark/>
          </w:tcPr>
          <w:p w14:paraId="1F2E692A"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p>
        </w:tc>
        <w:tc>
          <w:tcPr>
            <w:tcW w:w="1023" w:type="dxa"/>
            <w:noWrap/>
            <w:vAlign w:val="center"/>
            <w:hideMark/>
          </w:tcPr>
          <w:p w14:paraId="52852F0C"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p>
        </w:tc>
        <w:tc>
          <w:tcPr>
            <w:tcW w:w="1047" w:type="dxa"/>
            <w:noWrap/>
            <w:vAlign w:val="center"/>
            <w:hideMark/>
          </w:tcPr>
          <w:p w14:paraId="5A6AC170"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p>
        </w:tc>
        <w:tc>
          <w:tcPr>
            <w:tcW w:w="990" w:type="dxa"/>
            <w:noWrap/>
            <w:vAlign w:val="center"/>
            <w:hideMark/>
          </w:tcPr>
          <w:p w14:paraId="4C8BDCF9"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p>
        </w:tc>
        <w:tc>
          <w:tcPr>
            <w:tcW w:w="990" w:type="dxa"/>
            <w:noWrap/>
            <w:vAlign w:val="center"/>
            <w:hideMark/>
          </w:tcPr>
          <w:p w14:paraId="2CA91CE4"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p>
        </w:tc>
        <w:tc>
          <w:tcPr>
            <w:tcW w:w="1080" w:type="dxa"/>
            <w:noWrap/>
            <w:vAlign w:val="center"/>
            <w:hideMark/>
          </w:tcPr>
          <w:p w14:paraId="6EC627E6" w14:textId="77777777" w:rsidR="00596FDB" w:rsidRPr="00730CC1" w:rsidRDefault="00596FDB" w:rsidP="00F43244">
            <w:pPr>
              <w:spacing w:line="240" w:lineRule="auto"/>
              <w:contextualSpacing/>
              <w:jc w:val="center"/>
              <w:rPr>
                <w:rFonts w:ascii="Calibri" w:hAnsi="Calibri"/>
                <w:color w:val="000000"/>
                <w:sz w:val="20"/>
                <w:szCs w:val="20"/>
                <w:lang w:eastAsia="en-US"/>
              </w:rPr>
            </w:pPr>
          </w:p>
        </w:tc>
        <w:tc>
          <w:tcPr>
            <w:tcW w:w="1260" w:type="dxa"/>
            <w:noWrap/>
            <w:vAlign w:val="center"/>
            <w:hideMark/>
          </w:tcPr>
          <w:p w14:paraId="42F590ED" w14:textId="77777777" w:rsidR="00596FDB" w:rsidRPr="00730CC1" w:rsidRDefault="00596FDB" w:rsidP="00F43244">
            <w:pPr>
              <w:spacing w:line="240" w:lineRule="auto"/>
              <w:contextualSpacing/>
              <w:jc w:val="center"/>
              <w:rPr>
                <w:rFonts w:ascii="Calibri" w:hAnsi="Calibri"/>
                <w:color w:val="000000"/>
                <w:sz w:val="20"/>
                <w:szCs w:val="20"/>
                <w:lang w:eastAsia="en-US"/>
              </w:rPr>
            </w:pPr>
          </w:p>
        </w:tc>
      </w:tr>
      <w:tr w:rsidR="00596FDB" w:rsidRPr="00730CC1" w14:paraId="210D8BD0" w14:textId="77777777" w:rsidTr="00440F15">
        <w:trPr>
          <w:trHeight w:val="315"/>
        </w:trPr>
        <w:tc>
          <w:tcPr>
            <w:tcW w:w="1134" w:type="dxa"/>
            <w:shd w:val="clear" w:color="auto" w:fill="F6E2A3"/>
            <w:noWrap/>
            <w:vAlign w:val="center"/>
            <w:hideMark/>
          </w:tcPr>
          <w:p w14:paraId="7524FF16" w14:textId="77777777" w:rsidR="00596FDB" w:rsidRPr="00730CC1" w:rsidRDefault="00596FDB" w:rsidP="00F43244">
            <w:pPr>
              <w:spacing w:line="240" w:lineRule="auto"/>
              <w:contextualSpacing/>
              <w:rPr>
                <w:rFonts w:ascii="Times New Roman" w:hAnsi="Times New Roman"/>
                <w:b/>
                <w:color w:val="000000"/>
                <w:sz w:val="20"/>
                <w:szCs w:val="20"/>
                <w:lang w:eastAsia="en-US"/>
              </w:rPr>
            </w:pPr>
            <w:r w:rsidRPr="00730CC1">
              <w:rPr>
                <w:rFonts w:ascii="Times New Roman" w:hAnsi="Times New Roman"/>
                <w:b/>
                <w:color w:val="000000"/>
                <w:sz w:val="20"/>
                <w:szCs w:val="20"/>
                <w:lang w:eastAsia="en-US"/>
              </w:rPr>
              <w:t>Vasaris</w:t>
            </w:r>
          </w:p>
        </w:tc>
        <w:tc>
          <w:tcPr>
            <w:tcW w:w="960" w:type="dxa"/>
            <w:shd w:val="clear" w:color="auto" w:fill="F6E2A3"/>
            <w:noWrap/>
            <w:vAlign w:val="center"/>
            <w:hideMark/>
          </w:tcPr>
          <w:p w14:paraId="275AD306" w14:textId="3B55BA5F" w:rsidR="00596FDB" w:rsidRPr="00730CC1" w:rsidRDefault="00596FDB" w:rsidP="00F43244">
            <w:pPr>
              <w:spacing w:line="240" w:lineRule="auto"/>
              <w:contextualSpacing/>
              <w:jc w:val="center"/>
              <w:rPr>
                <w:rFonts w:ascii="Times New Roman" w:hAnsi="Times New Roman"/>
                <w:color w:val="000000"/>
                <w:sz w:val="20"/>
                <w:szCs w:val="20"/>
                <w:lang w:eastAsia="en-US"/>
              </w:rPr>
            </w:pPr>
            <w:r w:rsidRPr="00730CC1">
              <w:rPr>
                <w:rFonts w:ascii="Times New Roman" w:hAnsi="Times New Roman"/>
                <w:color w:val="000000"/>
                <w:sz w:val="20"/>
                <w:szCs w:val="20"/>
                <w:lang w:eastAsia="en-US"/>
              </w:rPr>
              <w:t>94</w:t>
            </w:r>
            <w:r w:rsidR="00547417">
              <w:rPr>
                <w:rFonts w:ascii="Times New Roman" w:hAnsi="Times New Roman"/>
                <w:color w:val="000000"/>
                <w:sz w:val="20"/>
                <w:szCs w:val="20"/>
                <w:lang w:eastAsia="en-US"/>
              </w:rPr>
              <w:t> </w:t>
            </w:r>
            <w:r w:rsidRPr="00730CC1">
              <w:rPr>
                <w:rFonts w:ascii="Times New Roman" w:hAnsi="Times New Roman"/>
                <w:color w:val="000000"/>
                <w:sz w:val="20"/>
                <w:szCs w:val="20"/>
                <w:lang w:eastAsia="en-US"/>
              </w:rPr>
              <w:t>616</w:t>
            </w:r>
          </w:p>
        </w:tc>
        <w:tc>
          <w:tcPr>
            <w:tcW w:w="1080" w:type="dxa"/>
            <w:shd w:val="clear" w:color="auto" w:fill="F6E2A3"/>
            <w:noWrap/>
            <w:vAlign w:val="center"/>
            <w:hideMark/>
          </w:tcPr>
          <w:p w14:paraId="625E5389"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p>
        </w:tc>
        <w:tc>
          <w:tcPr>
            <w:tcW w:w="1023" w:type="dxa"/>
            <w:shd w:val="clear" w:color="auto" w:fill="F6E2A3"/>
            <w:noWrap/>
            <w:vAlign w:val="center"/>
            <w:hideMark/>
          </w:tcPr>
          <w:p w14:paraId="57B79E1D"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p>
        </w:tc>
        <w:tc>
          <w:tcPr>
            <w:tcW w:w="1047" w:type="dxa"/>
            <w:shd w:val="clear" w:color="auto" w:fill="F6E2A3"/>
            <w:noWrap/>
            <w:vAlign w:val="center"/>
            <w:hideMark/>
          </w:tcPr>
          <w:p w14:paraId="3A39953A" w14:textId="495F49AA" w:rsidR="00596FDB" w:rsidRPr="00730CC1" w:rsidRDefault="00596FDB" w:rsidP="00F43244">
            <w:pPr>
              <w:spacing w:line="240" w:lineRule="auto"/>
              <w:contextualSpacing/>
              <w:jc w:val="center"/>
              <w:rPr>
                <w:rFonts w:ascii="Times New Roman" w:hAnsi="Times New Roman"/>
                <w:color w:val="000000"/>
                <w:sz w:val="20"/>
                <w:szCs w:val="20"/>
                <w:lang w:eastAsia="en-US"/>
              </w:rPr>
            </w:pPr>
            <w:r w:rsidRPr="00730CC1">
              <w:rPr>
                <w:rFonts w:ascii="Times New Roman" w:hAnsi="Times New Roman"/>
                <w:color w:val="000000"/>
                <w:sz w:val="20"/>
                <w:szCs w:val="20"/>
                <w:lang w:eastAsia="en-US"/>
              </w:rPr>
              <w:t>247</w:t>
            </w:r>
            <w:r w:rsidR="00547417">
              <w:rPr>
                <w:rFonts w:ascii="Times New Roman" w:hAnsi="Times New Roman"/>
                <w:color w:val="000000"/>
                <w:sz w:val="20"/>
                <w:szCs w:val="20"/>
                <w:lang w:eastAsia="en-US"/>
              </w:rPr>
              <w:t> </w:t>
            </w:r>
            <w:r w:rsidRPr="00730CC1">
              <w:rPr>
                <w:rFonts w:ascii="Times New Roman" w:hAnsi="Times New Roman"/>
                <w:color w:val="000000"/>
                <w:sz w:val="20"/>
                <w:szCs w:val="20"/>
                <w:lang w:eastAsia="en-US"/>
              </w:rPr>
              <w:t>021</w:t>
            </w:r>
          </w:p>
        </w:tc>
        <w:tc>
          <w:tcPr>
            <w:tcW w:w="990" w:type="dxa"/>
            <w:shd w:val="clear" w:color="auto" w:fill="F6E2A3"/>
            <w:noWrap/>
            <w:vAlign w:val="center"/>
            <w:hideMark/>
          </w:tcPr>
          <w:p w14:paraId="4E1EB1FA"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p>
        </w:tc>
        <w:tc>
          <w:tcPr>
            <w:tcW w:w="990" w:type="dxa"/>
            <w:shd w:val="clear" w:color="auto" w:fill="F6E2A3"/>
            <w:noWrap/>
            <w:vAlign w:val="center"/>
            <w:hideMark/>
          </w:tcPr>
          <w:p w14:paraId="0A9EB0D8"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p>
        </w:tc>
        <w:tc>
          <w:tcPr>
            <w:tcW w:w="1080" w:type="dxa"/>
            <w:shd w:val="clear" w:color="auto" w:fill="F6E2A3"/>
            <w:noWrap/>
            <w:vAlign w:val="center"/>
            <w:hideMark/>
          </w:tcPr>
          <w:p w14:paraId="04F30CF6" w14:textId="77777777" w:rsidR="00596FDB" w:rsidRPr="00730CC1" w:rsidRDefault="00596FDB" w:rsidP="00F43244">
            <w:pPr>
              <w:spacing w:line="240" w:lineRule="auto"/>
              <w:contextualSpacing/>
              <w:jc w:val="center"/>
              <w:rPr>
                <w:rFonts w:ascii="Calibri" w:hAnsi="Calibri"/>
                <w:color w:val="000000"/>
                <w:sz w:val="20"/>
                <w:szCs w:val="20"/>
                <w:lang w:eastAsia="en-US"/>
              </w:rPr>
            </w:pPr>
          </w:p>
        </w:tc>
        <w:tc>
          <w:tcPr>
            <w:tcW w:w="1260" w:type="dxa"/>
            <w:shd w:val="clear" w:color="auto" w:fill="F6E2A3"/>
            <w:noWrap/>
            <w:vAlign w:val="center"/>
            <w:hideMark/>
          </w:tcPr>
          <w:p w14:paraId="7B44FF92" w14:textId="77777777" w:rsidR="00596FDB" w:rsidRPr="00730CC1" w:rsidRDefault="00596FDB" w:rsidP="00F43244">
            <w:pPr>
              <w:spacing w:line="240" w:lineRule="auto"/>
              <w:contextualSpacing/>
              <w:jc w:val="center"/>
              <w:rPr>
                <w:rFonts w:ascii="Calibri" w:hAnsi="Calibri"/>
                <w:color w:val="000000"/>
                <w:sz w:val="20"/>
                <w:szCs w:val="20"/>
                <w:lang w:eastAsia="en-US"/>
              </w:rPr>
            </w:pPr>
          </w:p>
        </w:tc>
      </w:tr>
      <w:tr w:rsidR="00596FDB" w:rsidRPr="00730CC1" w14:paraId="0DC77FE4" w14:textId="77777777" w:rsidTr="00440F15">
        <w:trPr>
          <w:trHeight w:val="315"/>
        </w:trPr>
        <w:tc>
          <w:tcPr>
            <w:tcW w:w="1134" w:type="dxa"/>
            <w:noWrap/>
            <w:vAlign w:val="center"/>
            <w:hideMark/>
          </w:tcPr>
          <w:p w14:paraId="1FB96323" w14:textId="77777777" w:rsidR="00596FDB" w:rsidRPr="00730CC1" w:rsidRDefault="00596FDB" w:rsidP="00F43244">
            <w:pPr>
              <w:spacing w:line="240" w:lineRule="auto"/>
              <w:contextualSpacing/>
              <w:rPr>
                <w:rFonts w:ascii="Times New Roman" w:hAnsi="Times New Roman"/>
                <w:b/>
                <w:color w:val="000000"/>
                <w:sz w:val="20"/>
                <w:szCs w:val="20"/>
                <w:lang w:eastAsia="en-US"/>
              </w:rPr>
            </w:pPr>
            <w:r w:rsidRPr="00730CC1">
              <w:rPr>
                <w:rFonts w:ascii="Times New Roman" w:hAnsi="Times New Roman"/>
                <w:b/>
                <w:color w:val="000000"/>
                <w:sz w:val="20"/>
                <w:szCs w:val="20"/>
                <w:lang w:eastAsia="en-US"/>
              </w:rPr>
              <w:t>Kovas</w:t>
            </w:r>
          </w:p>
        </w:tc>
        <w:tc>
          <w:tcPr>
            <w:tcW w:w="960" w:type="dxa"/>
            <w:noWrap/>
            <w:vAlign w:val="center"/>
            <w:hideMark/>
          </w:tcPr>
          <w:p w14:paraId="261CEE83" w14:textId="62DBAFC4" w:rsidR="00596FDB" w:rsidRPr="00730CC1" w:rsidRDefault="00596FDB" w:rsidP="00F43244">
            <w:pPr>
              <w:spacing w:line="240" w:lineRule="auto"/>
              <w:contextualSpacing/>
              <w:jc w:val="center"/>
              <w:rPr>
                <w:rFonts w:ascii="Times New Roman" w:hAnsi="Times New Roman"/>
                <w:color w:val="000000"/>
                <w:sz w:val="20"/>
                <w:szCs w:val="20"/>
                <w:lang w:eastAsia="en-US"/>
              </w:rPr>
            </w:pPr>
            <w:r w:rsidRPr="00730CC1">
              <w:rPr>
                <w:rFonts w:ascii="Times New Roman" w:hAnsi="Times New Roman"/>
                <w:color w:val="000000"/>
                <w:sz w:val="20"/>
                <w:szCs w:val="20"/>
                <w:lang w:eastAsia="en-US"/>
              </w:rPr>
              <w:t>180</w:t>
            </w:r>
            <w:r w:rsidR="00547417">
              <w:rPr>
                <w:rFonts w:ascii="Times New Roman" w:hAnsi="Times New Roman"/>
                <w:color w:val="000000"/>
                <w:sz w:val="20"/>
                <w:szCs w:val="20"/>
                <w:lang w:eastAsia="en-US"/>
              </w:rPr>
              <w:t> </w:t>
            </w:r>
            <w:r w:rsidRPr="00730CC1">
              <w:rPr>
                <w:rFonts w:ascii="Times New Roman" w:hAnsi="Times New Roman"/>
                <w:color w:val="000000"/>
                <w:sz w:val="20"/>
                <w:szCs w:val="20"/>
                <w:lang w:eastAsia="en-US"/>
              </w:rPr>
              <w:t>449</w:t>
            </w:r>
          </w:p>
        </w:tc>
        <w:tc>
          <w:tcPr>
            <w:tcW w:w="1080" w:type="dxa"/>
            <w:noWrap/>
            <w:vAlign w:val="center"/>
            <w:hideMark/>
          </w:tcPr>
          <w:p w14:paraId="3EF6E54A" w14:textId="5CFB821F" w:rsidR="00596FDB" w:rsidRPr="00730CC1" w:rsidRDefault="00596FDB" w:rsidP="00F43244">
            <w:pPr>
              <w:spacing w:line="240" w:lineRule="auto"/>
              <w:contextualSpacing/>
              <w:jc w:val="center"/>
              <w:rPr>
                <w:rFonts w:ascii="Times New Roman" w:hAnsi="Times New Roman"/>
                <w:color w:val="000000"/>
                <w:sz w:val="20"/>
                <w:szCs w:val="20"/>
                <w:lang w:eastAsia="en-US"/>
              </w:rPr>
            </w:pPr>
            <w:r w:rsidRPr="00730CC1">
              <w:rPr>
                <w:rFonts w:ascii="Times New Roman" w:hAnsi="Times New Roman"/>
                <w:color w:val="000000"/>
                <w:sz w:val="20"/>
                <w:szCs w:val="20"/>
                <w:lang w:eastAsia="en-US"/>
              </w:rPr>
              <w:t>236</w:t>
            </w:r>
            <w:r w:rsidR="00547417">
              <w:rPr>
                <w:rFonts w:ascii="Times New Roman" w:hAnsi="Times New Roman"/>
                <w:color w:val="000000"/>
                <w:sz w:val="20"/>
                <w:szCs w:val="20"/>
                <w:lang w:eastAsia="en-US"/>
              </w:rPr>
              <w:t> </w:t>
            </w:r>
            <w:r w:rsidRPr="00730CC1">
              <w:rPr>
                <w:rFonts w:ascii="Times New Roman" w:hAnsi="Times New Roman"/>
                <w:color w:val="000000"/>
                <w:sz w:val="20"/>
                <w:szCs w:val="20"/>
                <w:lang w:eastAsia="en-US"/>
              </w:rPr>
              <w:t>013</w:t>
            </w:r>
          </w:p>
        </w:tc>
        <w:tc>
          <w:tcPr>
            <w:tcW w:w="1023" w:type="dxa"/>
            <w:noWrap/>
            <w:vAlign w:val="center"/>
            <w:hideMark/>
          </w:tcPr>
          <w:p w14:paraId="20C72F96" w14:textId="0D191C02" w:rsidR="00596FDB" w:rsidRPr="00730CC1" w:rsidRDefault="00596FDB" w:rsidP="00F43244">
            <w:pPr>
              <w:spacing w:line="240" w:lineRule="auto"/>
              <w:contextualSpacing/>
              <w:jc w:val="center"/>
              <w:rPr>
                <w:rFonts w:ascii="Times New Roman" w:hAnsi="Times New Roman"/>
                <w:color w:val="000000"/>
                <w:sz w:val="20"/>
                <w:szCs w:val="20"/>
                <w:lang w:eastAsia="en-US"/>
              </w:rPr>
            </w:pPr>
            <w:r w:rsidRPr="00730CC1">
              <w:rPr>
                <w:rFonts w:ascii="Times New Roman" w:hAnsi="Times New Roman"/>
                <w:color w:val="000000"/>
                <w:sz w:val="20"/>
                <w:szCs w:val="20"/>
                <w:lang w:eastAsia="en-US"/>
              </w:rPr>
              <w:t>207</w:t>
            </w:r>
            <w:r w:rsidR="00547417">
              <w:rPr>
                <w:rFonts w:ascii="Times New Roman" w:hAnsi="Times New Roman"/>
                <w:color w:val="000000"/>
                <w:sz w:val="20"/>
                <w:szCs w:val="20"/>
                <w:lang w:eastAsia="en-US"/>
              </w:rPr>
              <w:t> </w:t>
            </w:r>
            <w:r w:rsidRPr="00730CC1">
              <w:rPr>
                <w:rFonts w:ascii="Times New Roman" w:hAnsi="Times New Roman"/>
                <w:color w:val="000000"/>
                <w:sz w:val="20"/>
                <w:szCs w:val="20"/>
                <w:lang w:eastAsia="en-US"/>
              </w:rPr>
              <w:t>714</w:t>
            </w:r>
          </w:p>
        </w:tc>
        <w:tc>
          <w:tcPr>
            <w:tcW w:w="1047" w:type="dxa"/>
            <w:noWrap/>
            <w:vAlign w:val="center"/>
            <w:hideMark/>
          </w:tcPr>
          <w:p w14:paraId="14794FF5" w14:textId="6799EDCD" w:rsidR="00596FDB" w:rsidRPr="00730CC1" w:rsidRDefault="00596FDB" w:rsidP="00F43244">
            <w:pPr>
              <w:spacing w:line="240" w:lineRule="auto"/>
              <w:contextualSpacing/>
              <w:jc w:val="center"/>
              <w:rPr>
                <w:rFonts w:ascii="Times New Roman" w:hAnsi="Times New Roman"/>
                <w:color w:val="000000"/>
                <w:sz w:val="20"/>
                <w:szCs w:val="20"/>
                <w:lang w:eastAsia="en-US"/>
              </w:rPr>
            </w:pPr>
            <w:r w:rsidRPr="00730CC1">
              <w:rPr>
                <w:rFonts w:ascii="Times New Roman" w:hAnsi="Times New Roman"/>
                <w:color w:val="000000"/>
                <w:sz w:val="20"/>
                <w:szCs w:val="20"/>
                <w:lang w:eastAsia="en-US"/>
              </w:rPr>
              <w:t>294</w:t>
            </w:r>
            <w:r w:rsidR="00547417">
              <w:rPr>
                <w:rFonts w:ascii="Times New Roman" w:hAnsi="Times New Roman"/>
                <w:color w:val="000000"/>
                <w:sz w:val="20"/>
                <w:szCs w:val="20"/>
                <w:lang w:eastAsia="en-US"/>
              </w:rPr>
              <w:t> </w:t>
            </w:r>
            <w:r w:rsidRPr="00730CC1">
              <w:rPr>
                <w:rFonts w:ascii="Times New Roman" w:hAnsi="Times New Roman"/>
                <w:color w:val="000000"/>
                <w:sz w:val="20"/>
                <w:szCs w:val="20"/>
                <w:lang w:eastAsia="en-US"/>
              </w:rPr>
              <w:t>233</w:t>
            </w:r>
          </w:p>
        </w:tc>
        <w:tc>
          <w:tcPr>
            <w:tcW w:w="990" w:type="dxa"/>
            <w:noWrap/>
            <w:vAlign w:val="center"/>
            <w:hideMark/>
          </w:tcPr>
          <w:p w14:paraId="0CFD21E7"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r w:rsidRPr="00730CC1">
              <w:rPr>
                <w:rFonts w:ascii="Times New Roman" w:hAnsi="Times New Roman"/>
                <w:color w:val="000000"/>
                <w:sz w:val="20"/>
                <w:szCs w:val="20"/>
                <w:lang w:eastAsia="en-US"/>
              </w:rPr>
              <w:t>434834</w:t>
            </w:r>
          </w:p>
        </w:tc>
        <w:tc>
          <w:tcPr>
            <w:tcW w:w="990" w:type="dxa"/>
            <w:noWrap/>
            <w:vAlign w:val="center"/>
            <w:hideMark/>
          </w:tcPr>
          <w:p w14:paraId="660A61B9"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p>
        </w:tc>
        <w:tc>
          <w:tcPr>
            <w:tcW w:w="1080" w:type="dxa"/>
            <w:noWrap/>
            <w:vAlign w:val="center"/>
            <w:hideMark/>
          </w:tcPr>
          <w:p w14:paraId="3753E8FF" w14:textId="32F1C154" w:rsidR="00596FDB" w:rsidRPr="00730CC1" w:rsidRDefault="00596FDB" w:rsidP="00F43244">
            <w:pPr>
              <w:spacing w:line="240" w:lineRule="auto"/>
              <w:contextualSpacing/>
              <w:jc w:val="center"/>
              <w:rPr>
                <w:rFonts w:ascii="Times New Roman" w:hAnsi="Times New Roman"/>
                <w:color w:val="000000"/>
                <w:sz w:val="20"/>
                <w:szCs w:val="20"/>
                <w:lang w:eastAsia="en-US"/>
              </w:rPr>
            </w:pPr>
            <w:r w:rsidRPr="00730CC1">
              <w:rPr>
                <w:rFonts w:ascii="Times New Roman" w:hAnsi="Times New Roman"/>
                <w:color w:val="000000"/>
                <w:sz w:val="20"/>
                <w:szCs w:val="20"/>
                <w:lang w:eastAsia="en-US"/>
              </w:rPr>
              <w:t>357</w:t>
            </w:r>
            <w:r w:rsidR="00547417">
              <w:rPr>
                <w:rFonts w:ascii="Times New Roman" w:hAnsi="Times New Roman"/>
                <w:color w:val="000000"/>
                <w:sz w:val="20"/>
                <w:szCs w:val="20"/>
                <w:lang w:eastAsia="en-US"/>
              </w:rPr>
              <w:t> </w:t>
            </w:r>
            <w:r w:rsidRPr="00730CC1">
              <w:rPr>
                <w:rFonts w:ascii="Times New Roman" w:hAnsi="Times New Roman"/>
                <w:color w:val="000000"/>
                <w:sz w:val="20"/>
                <w:szCs w:val="20"/>
                <w:lang w:eastAsia="en-US"/>
              </w:rPr>
              <w:t>095</w:t>
            </w:r>
          </w:p>
        </w:tc>
        <w:tc>
          <w:tcPr>
            <w:tcW w:w="1260" w:type="dxa"/>
            <w:noWrap/>
            <w:vAlign w:val="center"/>
            <w:hideMark/>
          </w:tcPr>
          <w:p w14:paraId="291E62F8" w14:textId="53F1E5F6" w:rsidR="00596FDB" w:rsidRPr="00730CC1" w:rsidRDefault="00596FDB" w:rsidP="00F43244">
            <w:pPr>
              <w:spacing w:line="240" w:lineRule="auto"/>
              <w:contextualSpacing/>
              <w:jc w:val="center"/>
              <w:rPr>
                <w:rFonts w:ascii="Times New Roman" w:hAnsi="Times New Roman"/>
                <w:color w:val="000000"/>
                <w:sz w:val="20"/>
                <w:szCs w:val="20"/>
                <w:lang w:eastAsia="en-US"/>
              </w:rPr>
            </w:pPr>
            <w:r w:rsidRPr="00730CC1">
              <w:rPr>
                <w:rFonts w:ascii="Times New Roman" w:hAnsi="Times New Roman"/>
                <w:color w:val="000000"/>
                <w:sz w:val="20"/>
                <w:szCs w:val="20"/>
                <w:lang w:eastAsia="en-US"/>
              </w:rPr>
              <w:t>326</w:t>
            </w:r>
            <w:r w:rsidR="00547417">
              <w:rPr>
                <w:rFonts w:ascii="Times New Roman" w:hAnsi="Times New Roman"/>
                <w:color w:val="000000"/>
                <w:sz w:val="20"/>
                <w:szCs w:val="20"/>
                <w:lang w:eastAsia="en-US"/>
              </w:rPr>
              <w:t> </w:t>
            </w:r>
            <w:r w:rsidRPr="00730CC1">
              <w:rPr>
                <w:rFonts w:ascii="Times New Roman" w:hAnsi="Times New Roman"/>
                <w:color w:val="000000"/>
                <w:sz w:val="20"/>
                <w:szCs w:val="20"/>
                <w:lang w:eastAsia="en-US"/>
              </w:rPr>
              <w:t>188</w:t>
            </w:r>
          </w:p>
        </w:tc>
      </w:tr>
      <w:tr w:rsidR="00596FDB" w:rsidRPr="00730CC1" w14:paraId="3C875AC5" w14:textId="77777777" w:rsidTr="00440F15">
        <w:trPr>
          <w:trHeight w:val="315"/>
        </w:trPr>
        <w:tc>
          <w:tcPr>
            <w:tcW w:w="1134" w:type="dxa"/>
            <w:shd w:val="clear" w:color="auto" w:fill="F6E2A3"/>
            <w:noWrap/>
            <w:vAlign w:val="center"/>
            <w:hideMark/>
          </w:tcPr>
          <w:p w14:paraId="3981FF5B" w14:textId="77777777" w:rsidR="00596FDB" w:rsidRPr="00730CC1" w:rsidRDefault="00596FDB" w:rsidP="00F43244">
            <w:pPr>
              <w:spacing w:line="240" w:lineRule="auto"/>
              <w:contextualSpacing/>
              <w:rPr>
                <w:rFonts w:ascii="Times New Roman" w:hAnsi="Times New Roman"/>
                <w:b/>
                <w:color w:val="000000"/>
                <w:sz w:val="20"/>
                <w:szCs w:val="20"/>
                <w:lang w:eastAsia="en-US"/>
              </w:rPr>
            </w:pPr>
            <w:r w:rsidRPr="00730CC1">
              <w:rPr>
                <w:rFonts w:ascii="Times New Roman" w:hAnsi="Times New Roman"/>
                <w:b/>
                <w:color w:val="000000"/>
                <w:sz w:val="20"/>
                <w:szCs w:val="20"/>
                <w:lang w:eastAsia="en-US"/>
              </w:rPr>
              <w:t>Balandis</w:t>
            </w:r>
          </w:p>
        </w:tc>
        <w:tc>
          <w:tcPr>
            <w:tcW w:w="960" w:type="dxa"/>
            <w:shd w:val="clear" w:color="auto" w:fill="F6E2A3"/>
            <w:noWrap/>
            <w:vAlign w:val="center"/>
            <w:hideMark/>
          </w:tcPr>
          <w:p w14:paraId="4B2E225F" w14:textId="20F2E991" w:rsidR="00596FDB" w:rsidRPr="00730CC1" w:rsidRDefault="00596FDB" w:rsidP="00F43244">
            <w:pPr>
              <w:spacing w:line="240" w:lineRule="auto"/>
              <w:contextualSpacing/>
              <w:jc w:val="center"/>
              <w:rPr>
                <w:rFonts w:ascii="Times New Roman" w:hAnsi="Times New Roman"/>
                <w:color w:val="000000"/>
                <w:sz w:val="20"/>
                <w:szCs w:val="20"/>
                <w:lang w:eastAsia="en-US"/>
              </w:rPr>
            </w:pPr>
            <w:r w:rsidRPr="00730CC1">
              <w:rPr>
                <w:rFonts w:ascii="Times New Roman" w:hAnsi="Times New Roman"/>
                <w:color w:val="000000"/>
                <w:sz w:val="20"/>
                <w:szCs w:val="20"/>
                <w:lang w:eastAsia="en-US"/>
              </w:rPr>
              <w:t>215</w:t>
            </w:r>
            <w:r w:rsidR="00547417">
              <w:rPr>
                <w:rFonts w:ascii="Times New Roman" w:hAnsi="Times New Roman"/>
                <w:color w:val="000000"/>
                <w:sz w:val="20"/>
                <w:szCs w:val="20"/>
                <w:lang w:eastAsia="en-US"/>
              </w:rPr>
              <w:t> </w:t>
            </w:r>
            <w:r w:rsidRPr="00730CC1">
              <w:rPr>
                <w:rFonts w:ascii="Times New Roman" w:hAnsi="Times New Roman"/>
                <w:color w:val="000000"/>
                <w:sz w:val="20"/>
                <w:szCs w:val="20"/>
                <w:lang w:eastAsia="en-US"/>
              </w:rPr>
              <w:t>313</w:t>
            </w:r>
          </w:p>
        </w:tc>
        <w:tc>
          <w:tcPr>
            <w:tcW w:w="1080" w:type="dxa"/>
            <w:shd w:val="clear" w:color="auto" w:fill="F6E2A3"/>
            <w:noWrap/>
            <w:vAlign w:val="center"/>
            <w:hideMark/>
          </w:tcPr>
          <w:p w14:paraId="43E967F5"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p>
        </w:tc>
        <w:tc>
          <w:tcPr>
            <w:tcW w:w="1023" w:type="dxa"/>
            <w:shd w:val="clear" w:color="auto" w:fill="F6E2A3"/>
            <w:noWrap/>
            <w:vAlign w:val="center"/>
            <w:hideMark/>
          </w:tcPr>
          <w:p w14:paraId="6C460CD9"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p>
        </w:tc>
        <w:tc>
          <w:tcPr>
            <w:tcW w:w="1047" w:type="dxa"/>
            <w:shd w:val="clear" w:color="auto" w:fill="F6E2A3"/>
            <w:noWrap/>
            <w:vAlign w:val="center"/>
            <w:hideMark/>
          </w:tcPr>
          <w:p w14:paraId="5667E1C8"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p>
        </w:tc>
        <w:tc>
          <w:tcPr>
            <w:tcW w:w="990" w:type="dxa"/>
            <w:shd w:val="clear" w:color="auto" w:fill="F6E2A3"/>
            <w:noWrap/>
            <w:vAlign w:val="center"/>
            <w:hideMark/>
          </w:tcPr>
          <w:p w14:paraId="6A4DA6B9"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p>
        </w:tc>
        <w:tc>
          <w:tcPr>
            <w:tcW w:w="990" w:type="dxa"/>
            <w:shd w:val="clear" w:color="auto" w:fill="F6E2A3"/>
            <w:noWrap/>
            <w:vAlign w:val="center"/>
            <w:hideMark/>
          </w:tcPr>
          <w:p w14:paraId="4001E4B8" w14:textId="5BE3CD2C" w:rsidR="00596FDB" w:rsidRPr="00730CC1" w:rsidRDefault="00596FDB" w:rsidP="00F43244">
            <w:pPr>
              <w:spacing w:line="240" w:lineRule="auto"/>
              <w:contextualSpacing/>
              <w:jc w:val="center"/>
              <w:rPr>
                <w:rFonts w:ascii="Times New Roman" w:hAnsi="Times New Roman"/>
                <w:color w:val="000000"/>
                <w:sz w:val="20"/>
                <w:szCs w:val="20"/>
                <w:lang w:eastAsia="en-US"/>
              </w:rPr>
            </w:pPr>
            <w:r w:rsidRPr="00730CC1">
              <w:rPr>
                <w:rFonts w:ascii="Times New Roman" w:hAnsi="Times New Roman"/>
                <w:color w:val="000000"/>
                <w:sz w:val="20"/>
                <w:szCs w:val="20"/>
                <w:lang w:eastAsia="en-US"/>
              </w:rPr>
              <w:t>439</w:t>
            </w:r>
            <w:r w:rsidR="00547417">
              <w:rPr>
                <w:rFonts w:ascii="Times New Roman" w:hAnsi="Times New Roman"/>
                <w:color w:val="000000"/>
                <w:sz w:val="20"/>
                <w:szCs w:val="20"/>
                <w:lang w:eastAsia="en-US"/>
              </w:rPr>
              <w:t> </w:t>
            </w:r>
            <w:r w:rsidRPr="00730CC1">
              <w:rPr>
                <w:rFonts w:ascii="Times New Roman" w:hAnsi="Times New Roman"/>
                <w:color w:val="000000"/>
                <w:sz w:val="20"/>
                <w:szCs w:val="20"/>
                <w:lang w:eastAsia="en-US"/>
              </w:rPr>
              <w:t>987</w:t>
            </w:r>
          </w:p>
        </w:tc>
        <w:tc>
          <w:tcPr>
            <w:tcW w:w="1080" w:type="dxa"/>
            <w:shd w:val="clear" w:color="auto" w:fill="F6E2A3"/>
            <w:noWrap/>
            <w:vAlign w:val="center"/>
            <w:hideMark/>
          </w:tcPr>
          <w:p w14:paraId="23B034B2"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p>
        </w:tc>
        <w:tc>
          <w:tcPr>
            <w:tcW w:w="1260" w:type="dxa"/>
            <w:shd w:val="clear" w:color="auto" w:fill="F6E2A3"/>
            <w:noWrap/>
            <w:vAlign w:val="center"/>
            <w:hideMark/>
          </w:tcPr>
          <w:p w14:paraId="39E25FF0" w14:textId="77777777" w:rsidR="00596FDB" w:rsidRPr="00730CC1" w:rsidRDefault="00596FDB" w:rsidP="00F43244">
            <w:pPr>
              <w:spacing w:line="240" w:lineRule="auto"/>
              <w:contextualSpacing/>
              <w:jc w:val="center"/>
              <w:rPr>
                <w:rFonts w:ascii="Calibri" w:hAnsi="Calibri"/>
                <w:color w:val="000000"/>
                <w:sz w:val="20"/>
                <w:szCs w:val="20"/>
                <w:lang w:eastAsia="en-US"/>
              </w:rPr>
            </w:pPr>
          </w:p>
        </w:tc>
      </w:tr>
      <w:tr w:rsidR="00596FDB" w:rsidRPr="00730CC1" w14:paraId="2123CB8A" w14:textId="77777777" w:rsidTr="00440F15">
        <w:trPr>
          <w:trHeight w:val="315"/>
        </w:trPr>
        <w:tc>
          <w:tcPr>
            <w:tcW w:w="1134" w:type="dxa"/>
            <w:noWrap/>
            <w:vAlign w:val="center"/>
            <w:hideMark/>
          </w:tcPr>
          <w:p w14:paraId="2FB21694" w14:textId="77777777" w:rsidR="00596FDB" w:rsidRPr="00730CC1" w:rsidRDefault="00596FDB" w:rsidP="00F43244">
            <w:pPr>
              <w:spacing w:line="240" w:lineRule="auto"/>
              <w:contextualSpacing/>
              <w:rPr>
                <w:rFonts w:ascii="Times New Roman" w:hAnsi="Times New Roman"/>
                <w:b/>
                <w:color w:val="000000"/>
                <w:sz w:val="20"/>
                <w:szCs w:val="20"/>
                <w:lang w:eastAsia="en-US"/>
              </w:rPr>
            </w:pPr>
            <w:r w:rsidRPr="00730CC1">
              <w:rPr>
                <w:rFonts w:ascii="Times New Roman" w:hAnsi="Times New Roman"/>
                <w:b/>
                <w:color w:val="000000"/>
                <w:sz w:val="20"/>
                <w:szCs w:val="20"/>
                <w:lang w:eastAsia="en-US"/>
              </w:rPr>
              <w:t>Gegužė</w:t>
            </w:r>
          </w:p>
        </w:tc>
        <w:tc>
          <w:tcPr>
            <w:tcW w:w="960" w:type="dxa"/>
            <w:noWrap/>
            <w:vAlign w:val="center"/>
            <w:hideMark/>
          </w:tcPr>
          <w:p w14:paraId="5E18EB87" w14:textId="21F720B7" w:rsidR="00596FDB" w:rsidRPr="00730CC1" w:rsidRDefault="00596FDB" w:rsidP="00F43244">
            <w:pPr>
              <w:spacing w:line="240" w:lineRule="auto"/>
              <w:contextualSpacing/>
              <w:jc w:val="center"/>
              <w:rPr>
                <w:rFonts w:ascii="Times New Roman" w:hAnsi="Times New Roman"/>
                <w:color w:val="000000"/>
                <w:sz w:val="20"/>
                <w:szCs w:val="20"/>
                <w:lang w:eastAsia="en-US"/>
              </w:rPr>
            </w:pPr>
            <w:r w:rsidRPr="00730CC1">
              <w:rPr>
                <w:rFonts w:ascii="Times New Roman" w:hAnsi="Times New Roman"/>
                <w:color w:val="000000"/>
                <w:sz w:val="20"/>
                <w:szCs w:val="20"/>
                <w:lang w:eastAsia="en-US"/>
              </w:rPr>
              <w:t>215</w:t>
            </w:r>
            <w:r w:rsidR="00547417">
              <w:rPr>
                <w:rFonts w:ascii="Times New Roman" w:hAnsi="Times New Roman"/>
                <w:color w:val="000000"/>
                <w:sz w:val="20"/>
                <w:szCs w:val="20"/>
                <w:lang w:eastAsia="en-US"/>
              </w:rPr>
              <w:t> </w:t>
            </w:r>
            <w:r w:rsidRPr="00730CC1">
              <w:rPr>
                <w:rFonts w:ascii="Times New Roman" w:hAnsi="Times New Roman"/>
                <w:color w:val="000000"/>
                <w:sz w:val="20"/>
                <w:szCs w:val="20"/>
                <w:lang w:eastAsia="en-US"/>
              </w:rPr>
              <w:t>415</w:t>
            </w:r>
          </w:p>
        </w:tc>
        <w:tc>
          <w:tcPr>
            <w:tcW w:w="1080" w:type="dxa"/>
            <w:noWrap/>
            <w:vAlign w:val="center"/>
            <w:hideMark/>
          </w:tcPr>
          <w:p w14:paraId="7D1089FC" w14:textId="37BBBCC6" w:rsidR="00596FDB" w:rsidRPr="00730CC1" w:rsidRDefault="00596FDB" w:rsidP="00F43244">
            <w:pPr>
              <w:spacing w:line="240" w:lineRule="auto"/>
              <w:contextualSpacing/>
              <w:jc w:val="center"/>
              <w:rPr>
                <w:rFonts w:ascii="Times New Roman" w:hAnsi="Times New Roman"/>
                <w:color w:val="000000"/>
                <w:sz w:val="20"/>
                <w:szCs w:val="20"/>
                <w:lang w:eastAsia="en-US"/>
              </w:rPr>
            </w:pPr>
            <w:r w:rsidRPr="00730CC1">
              <w:rPr>
                <w:rFonts w:ascii="Times New Roman" w:hAnsi="Times New Roman"/>
                <w:color w:val="000000"/>
                <w:sz w:val="20"/>
                <w:szCs w:val="20"/>
                <w:lang w:eastAsia="en-US"/>
              </w:rPr>
              <w:t>256</w:t>
            </w:r>
            <w:r w:rsidR="00547417">
              <w:rPr>
                <w:rFonts w:ascii="Times New Roman" w:hAnsi="Times New Roman"/>
                <w:color w:val="000000"/>
                <w:sz w:val="20"/>
                <w:szCs w:val="20"/>
                <w:lang w:eastAsia="en-US"/>
              </w:rPr>
              <w:t> </w:t>
            </w:r>
            <w:r w:rsidRPr="00730CC1">
              <w:rPr>
                <w:rFonts w:ascii="Times New Roman" w:hAnsi="Times New Roman"/>
                <w:color w:val="000000"/>
                <w:sz w:val="20"/>
                <w:szCs w:val="20"/>
                <w:lang w:eastAsia="en-US"/>
              </w:rPr>
              <w:t>408</w:t>
            </w:r>
          </w:p>
        </w:tc>
        <w:tc>
          <w:tcPr>
            <w:tcW w:w="1023" w:type="dxa"/>
            <w:noWrap/>
            <w:vAlign w:val="center"/>
            <w:hideMark/>
          </w:tcPr>
          <w:p w14:paraId="7E8A709E" w14:textId="1754387E" w:rsidR="00596FDB" w:rsidRPr="00730CC1" w:rsidRDefault="00596FDB" w:rsidP="00F43244">
            <w:pPr>
              <w:spacing w:line="240" w:lineRule="auto"/>
              <w:contextualSpacing/>
              <w:jc w:val="center"/>
              <w:rPr>
                <w:rFonts w:ascii="Times New Roman" w:hAnsi="Times New Roman"/>
                <w:color w:val="000000"/>
                <w:sz w:val="20"/>
                <w:szCs w:val="20"/>
                <w:lang w:eastAsia="en-US"/>
              </w:rPr>
            </w:pPr>
            <w:r w:rsidRPr="00730CC1">
              <w:rPr>
                <w:rFonts w:ascii="Times New Roman" w:hAnsi="Times New Roman"/>
                <w:color w:val="000000"/>
                <w:sz w:val="20"/>
                <w:szCs w:val="20"/>
                <w:lang w:eastAsia="en-US"/>
              </w:rPr>
              <w:t>228</w:t>
            </w:r>
            <w:r w:rsidR="00547417">
              <w:rPr>
                <w:rFonts w:ascii="Times New Roman" w:hAnsi="Times New Roman"/>
                <w:color w:val="000000"/>
                <w:sz w:val="20"/>
                <w:szCs w:val="20"/>
                <w:lang w:eastAsia="en-US"/>
              </w:rPr>
              <w:t> </w:t>
            </w:r>
            <w:r w:rsidRPr="00730CC1">
              <w:rPr>
                <w:rFonts w:ascii="Times New Roman" w:hAnsi="Times New Roman"/>
                <w:color w:val="000000"/>
                <w:sz w:val="20"/>
                <w:szCs w:val="20"/>
                <w:lang w:eastAsia="en-US"/>
              </w:rPr>
              <w:t>599</w:t>
            </w:r>
          </w:p>
        </w:tc>
        <w:tc>
          <w:tcPr>
            <w:tcW w:w="1047" w:type="dxa"/>
            <w:noWrap/>
            <w:vAlign w:val="center"/>
            <w:hideMark/>
          </w:tcPr>
          <w:p w14:paraId="200F6924" w14:textId="1744B2A8" w:rsidR="00596FDB" w:rsidRPr="00730CC1" w:rsidRDefault="00596FDB" w:rsidP="00F43244">
            <w:pPr>
              <w:spacing w:line="240" w:lineRule="auto"/>
              <w:contextualSpacing/>
              <w:jc w:val="center"/>
              <w:rPr>
                <w:rFonts w:ascii="Times New Roman" w:hAnsi="Times New Roman"/>
                <w:color w:val="000000"/>
                <w:sz w:val="20"/>
                <w:szCs w:val="20"/>
                <w:lang w:eastAsia="en-US"/>
              </w:rPr>
            </w:pPr>
            <w:r w:rsidRPr="00730CC1">
              <w:rPr>
                <w:rFonts w:ascii="Times New Roman" w:hAnsi="Times New Roman"/>
                <w:color w:val="000000"/>
                <w:sz w:val="20"/>
                <w:szCs w:val="20"/>
                <w:lang w:eastAsia="en-US"/>
              </w:rPr>
              <w:t>359</w:t>
            </w:r>
            <w:r w:rsidR="00547417">
              <w:rPr>
                <w:rFonts w:ascii="Times New Roman" w:hAnsi="Times New Roman"/>
                <w:color w:val="000000"/>
                <w:sz w:val="20"/>
                <w:szCs w:val="20"/>
                <w:lang w:eastAsia="en-US"/>
              </w:rPr>
              <w:t> </w:t>
            </w:r>
            <w:r w:rsidRPr="00730CC1">
              <w:rPr>
                <w:rFonts w:ascii="Times New Roman" w:hAnsi="Times New Roman"/>
                <w:color w:val="000000"/>
                <w:sz w:val="20"/>
                <w:szCs w:val="20"/>
                <w:lang w:eastAsia="en-US"/>
              </w:rPr>
              <w:t>404</w:t>
            </w:r>
          </w:p>
        </w:tc>
        <w:tc>
          <w:tcPr>
            <w:tcW w:w="990" w:type="dxa"/>
            <w:noWrap/>
            <w:vAlign w:val="center"/>
            <w:hideMark/>
          </w:tcPr>
          <w:p w14:paraId="0A415AC8"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r w:rsidRPr="00730CC1">
              <w:rPr>
                <w:rFonts w:ascii="Times New Roman" w:hAnsi="Times New Roman"/>
                <w:color w:val="000000"/>
                <w:sz w:val="20"/>
                <w:szCs w:val="20"/>
                <w:lang w:eastAsia="en-US"/>
              </w:rPr>
              <w:t>485522</w:t>
            </w:r>
          </w:p>
        </w:tc>
        <w:tc>
          <w:tcPr>
            <w:tcW w:w="990" w:type="dxa"/>
            <w:noWrap/>
            <w:vAlign w:val="center"/>
            <w:hideMark/>
          </w:tcPr>
          <w:p w14:paraId="08444FD3" w14:textId="4D42EAE6" w:rsidR="00596FDB" w:rsidRPr="00730CC1" w:rsidRDefault="00596FDB" w:rsidP="00F43244">
            <w:pPr>
              <w:spacing w:line="240" w:lineRule="auto"/>
              <w:contextualSpacing/>
              <w:jc w:val="center"/>
              <w:rPr>
                <w:rFonts w:ascii="Times New Roman" w:hAnsi="Times New Roman"/>
                <w:color w:val="000000"/>
                <w:sz w:val="20"/>
                <w:szCs w:val="20"/>
                <w:lang w:eastAsia="en-US"/>
              </w:rPr>
            </w:pPr>
            <w:r w:rsidRPr="00730CC1">
              <w:rPr>
                <w:rFonts w:ascii="Times New Roman" w:hAnsi="Times New Roman"/>
                <w:color w:val="000000"/>
                <w:sz w:val="20"/>
                <w:szCs w:val="20"/>
                <w:lang w:eastAsia="en-US"/>
              </w:rPr>
              <w:t>467</w:t>
            </w:r>
            <w:r w:rsidR="00547417">
              <w:rPr>
                <w:rFonts w:ascii="Times New Roman" w:hAnsi="Times New Roman"/>
                <w:color w:val="000000"/>
                <w:sz w:val="20"/>
                <w:szCs w:val="20"/>
                <w:lang w:eastAsia="en-US"/>
              </w:rPr>
              <w:t> </w:t>
            </w:r>
            <w:r w:rsidRPr="00730CC1">
              <w:rPr>
                <w:rFonts w:ascii="Times New Roman" w:hAnsi="Times New Roman"/>
                <w:color w:val="000000"/>
                <w:sz w:val="20"/>
                <w:szCs w:val="20"/>
                <w:lang w:eastAsia="en-US"/>
              </w:rPr>
              <w:t>269</w:t>
            </w:r>
          </w:p>
        </w:tc>
        <w:tc>
          <w:tcPr>
            <w:tcW w:w="1080" w:type="dxa"/>
            <w:noWrap/>
            <w:vAlign w:val="center"/>
            <w:hideMark/>
          </w:tcPr>
          <w:p w14:paraId="3FB708BA" w14:textId="7F92913F" w:rsidR="00596FDB" w:rsidRPr="00730CC1" w:rsidRDefault="00596FDB" w:rsidP="00F43244">
            <w:pPr>
              <w:spacing w:line="240" w:lineRule="auto"/>
              <w:contextualSpacing/>
              <w:jc w:val="center"/>
              <w:rPr>
                <w:rFonts w:ascii="Times New Roman" w:hAnsi="Times New Roman"/>
                <w:color w:val="000000"/>
                <w:sz w:val="20"/>
                <w:szCs w:val="20"/>
                <w:lang w:eastAsia="en-US"/>
              </w:rPr>
            </w:pPr>
            <w:r w:rsidRPr="00730CC1">
              <w:rPr>
                <w:rFonts w:ascii="Times New Roman" w:hAnsi="Times New Roman"/>
                <w:color w:val="000000"/>
                <w:sz w:val="20"/>
                <w:szCs w:val="20"/>
                <w:lang w:eastAsia="en-US"/>
              </w:rPr>
              <w:t>412</w:t>
            </w:r>
            <w:r w:rsidR="00547417">
              <w:rPr>
                <w:rFonts w:ascii="Times New Roman" w:hAnsi="Times New Roman"/>
                <w:color w:val="000000"/>
                <w:sz w:val="20"/>
                <w:szCs w:val="20"/>
                <w:lang w:eastAsia="en-US"/>
              </w:rPr>
              <w:t> </w:t>
            </w:r>
            <w:r w:rsidRPr="00730CC1">
              <w:rPr>
                <w:rFonts w:ascii="Times New Roman" w:hAnsi="Times New Roman"/>
                <w:color w:val="000000"/>
                <w:sz w:val="20"/>
                <w:szCs w:val="20"/>
                <w:lang w:eastAsia="en-US"/>
              </w:rPr>
              <w:t>951</w:t>
            </w:r>
          </w:p>
        </w:tc>
        <w:tc>
          <w:tcPr>
            <w:tcW w:w="1260" w:type="dxa"/>
            <w:noWrap/>
            <w:vAlign w:val="center"/>
            <w:hideMark/>
          </w:tcPr>
          <w:p w14:paraId="6BD68E73" w14:textId="020FDDCC" w:rsidR="00596FDB" w:rsidRPr="00730CC1" w:rsidRDefault="00596FDB" w:rsidP="00F43244">
            <w:pPr>
              <w:spacing w:line="240" w:lineRule="auto"/>
              <w:contextualSpacing/>
              <w:jc w:val="center"/>
              <w:rPr>
                <w:rFonts w:ascii="Times New Roman" w:hAnsi="Times New Roman"/>
                <w:color w:val="000000"/>
                <w:sz w:val="20"/>
                <w:szCs w:val="20"/>
                <w:lang w:eastAsia="en-US"/>
              </w:rPr>
            </w:pPr>
            <w:r w:rsidRPr="00730CC1">
              <w:rPr>
                <w:rFonts w:ascii="Times New Roman" w:hAnsi="Times New Roman"/>
                <w:color w:val="000000"/>
                <w:sz w:val="20"/>
                <w:szCs w:val="20"/>
                <w:lang w:eastAsia="en-US"/>
              </w:rPr>
              <w:t>368</w:t>
            </w:r>
            <w:r w:rsidR="00547417">
              <w:rPr>
                <w:rFonts w:ascii="Times New Roman" w:hAnsi="Times New Roman"/>
                <w:color w:val="000000"/>
                <w:sz w:val="20"/>
                <w:szCs w:val="20"/>
                <w:lang w:eastAsia="en-US"/>
              </w:rPr>
              <w:t> </w:t>
            </w:r>
            <w:r w:rsidRPr="00730CC1">
              <w:rPr>
                <w:rFonts w:ascii="Times New Roman" w:hAnsi="Times New Roman"/>
                <w:color w:val="000000"/>
                <w:sz w:val="20"/>
                <w:szCs w:val="20"/>
                <w:lang w:eastAsia="en-US"/>
              </w:rPr>
              <w:t>872</w:t>
            </w:r>
          </w:p>
        </w:tc>
      </w:tr>
      <w:tr w:rsidR="00596FDB" w:rsidRPr="00730CC1" w14:paraId="26820FEA" w14:textId="77777777" w:rsidTr="00440F15">
        <w:trPr>
          <w:trHeight w:val="315"/>
        </w:trPr>
        <w:tc>
          <w:tcPr>
            <w:tcW w:w="1134" w:type="dxa"/>
            <w:shd w:val="clear" w:color="auto" w:fill="F6E2A3"/>
            <w:noWrap/>
            <w:vAlign w:val="center"/>
            <w:hideMark/>
          </w:tcPr>
          <w:p w14:paraId="7544270D" w14:textId="77777777" w:rsidR="00596FDB" w:rsidRPr="00730CC1" w:rsidRDefault="00596FDB" w:rsidP="00F43244">
            <w:pPr>
              <w:spacing w:line="240" w:lineRule="auto"/>
              <w:contextualSpacing/>
              <w:rPr>
                <w:rFonts w:ascii="Times New Roman" w:hAnsi="Times New Roman"/>
                <w:b/>
                <w:color w:val="000000"/>
                <w:sz w:val="20"/>
                <w:szCs w:val="20"/>
                <w:lang w:eastAsia="en-US"/>
              </w:rPr>
            </w:pPr>
            <w:r w:rsidRPr="00730CC1">
              <w:rPr>
                <w:rFonts w:ascii="Times New Roman" w:hAnsi="Times New Roman"/>
                <w:b/>
                <w:color w:val="000000"/>
                <w:sz w:val="20"/>
                <w:szCs w:val="20"/>
                <w:lang w:eastAsia="en-US"/>
              </w:rPr>
              <w:t>Birželis</w:t>
            </w:r>
          </w:p>
        </w:tc>
        <w:tc>
          <w:tcPr>
            <w:tcW w:w="960" w:type="dxa"/>
            <w:shd w:val="clear" w:color="auto" w:fill="F6E2A3"/>
            <w:noWrap/>
            <w:vAlign w:val="center"/>
            <w:hideMark/>
          </w:tcPr>
          <w:p w14:paraId="529B0739" w14:textId="20AED96F" w:rsidR="00596FDB" w:rsidRPr="00730CC1" w:rsidRDefault="00596FDB" w:rsidP="00F43244">
            <w:pPr>
              <w:spacing w:line="240" w:lineRule="auto"/>
              <w:contextualSpacing/>
              <w:jc w:val="center"/>
              <w:rPr>
                <w:rFonts w:ascii="Times New Roman" w:hAnsi="Times New Roman"/>
                <w:color w:val="000000"/>
                <w:sz w:val="20"/>
                <w:szCs w:val="20"/>
                <w:lang w:eastAsia="en-US"/>
              </w:rPr>
            </w:pPr>
            <w:r w:rsidRPr="00730CC1">
              <w:rPr>
                <w:rFonts w:ascii="Times New Roman" w:hAnsi="Times New Roman"/>
                <w:color w:val="000000"/>
                <w:sz w:val="20"/>
                <w:szCs w:val="20"/>
                <w:lang w:eastAsia="en-US"/>
              </w:rPr>
              <w:t>241</w:t>
            </w:r>
            <w:r w:rsidR="00547417">
              <w:rPr>
                <w:rFonts w:ascii="Times New Roman" w:hAnsi="Times New Roman"/>
                <w:color w:val="000000"/>
                <w:sz w:val="20"/>
                <w:szCs w:val="20"/>
                <w:lang w:eastAsia="en-US"/>
              </w:rPr>
              <w:t> </w:t>
            </w:r>
            <w:r w:rsidRPr="00730CC1">
              <w:rPr>
                <w:rFonts w:ascii="Times New Roman" w:hAnsi="Times New Roman"/>
                <w:color w:val="000000"/>
                <w:sz w:val="20"/>
                <w:szCs w:val="20"/>
                <w:lang w:eastAsia="en-US"/>
              </w:rPr>
              <w:t>765</w:t>
            </w:r>
          </w:p>
        </w:tc>
        <w:tc>
          <w:tcPr>
            <w:tcW w:w="1080" w:type="dxa"/>
            <w:shd w:val="clear" w:color="auto" w:fill="F6E2A3"/>
            <w:noWrap/>
            <w:vAlign w:val="center"/>
            <w:hideMark/>
          </w:tcPr>
          <w:p w14:paraId="2070E5F5"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p>
        </w:tc>
        <w:tc>
          <w:tcPr>
            <w:tcW w:w="1023" w:type="dxa"/>
            <w:shd w:val="clear" w:color="auto" w:fill="F6E2A3"/>
            <w:noWrap/>
            <w:vAlign w:val="center"/>
            <w:hideMark/>
          </w:tcPr>
          <w:p w14:paraId="2632B016"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p>
        </w:tc>
        <w:tc>
          <w:tcPr>
            <w:tcW w:w="1047" w:type="dxa"/>
            <w:shd w:val="clear" w:color="auto" w:fill="F6E2A3"/>
            <w:noWrap/>
            <w:vAlign w:val="center"/>
            <w:hideMark/>
          </w:tcPr>
          <w:p w14:paraId="019A0BCC"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p>
        </w:tc>
        <w:tc>
          <w:tcPr>
            <w:tcW w:w="990" w:type="dxa"/>
            <w:shd w:val="clear" w:color="auto" w:fill="F6E2A3"/>
            <w:noWrap/>
            <w:vAlign w:val="center"/>
            <w:hideMark/>
          </w:tcPr>
          <w:p w14:paraId="0DC32F62"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p>
        </w:tc>
        <w:tc>
          <w:tcPr>
            <w:tcW w:w="990" w:type="dxa"/>
            <w:shd w:val="clear" w:color="auto" w:fill="F6E2A3"/>
            <w:noWrap/>
            <w:vAlign w:val="center"/>
            <w:hideMark/>
          </w:tcPr>
          <w:p w14:paraId="13FD84C4"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p>
        </w:tc>
        <w:tc>
          <w:tcPr>
            <w:tcW w:w="1080" w:type="dxa"/>
            <w:shd w:val="clear" w:color="auto" w:fill="F6E2A3"/>
            <w:noWrap/>
            <w:vAlign w:val="center"/>
            <w:hideMark/>
          </w:tcPr>
          <w:p w14:paraId="7FDB2116" w14:textId="77777777" w:rsidR="00596FDB" w:rsidRPr="00730CC1" w:rsidRDefault="00596FDB" w:rsidP="00F43244">
            <w:pPr>
              <w:spacing w:line="240" w:lineRule="auto"/>
              <w:contextualSpacing/>
              <w:jc w:val="center"/>
              <w:rPr>
                <w:rFonts w:ascii="Calibri" w:hAnsi="Calibri"/>
                <w:color w:val="000000"/>
                <w:sz w:val="20"/>
                <w:szCs w:val="20"/>
                <w:lang w:eastAsia="en-US"/>
              </w:rPr>
            </w:pPr>
          </w:p>
        </w:tc>
        <w:tc>
          <w:tcPr>
            <w:tcW w:w="1260" w:type="dxa"/>
            <w:shd w:val="clear" w:color="auto" w:fill="F6E2A3"/>
            <w:noWrap/>
            <w:vAlign w:val="center"/>
            <w:hideMark/>
          </w:tcPr>
          <w:p w14:paraId="1491554C"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p>
        </w:tc>
      </w:tr>
      <w:tr w:rsidR="00596FDB" w:rsidRPr="00730CC1" w14:paraId="3F4A5DC2" w14:textId="77777777" w:rsidTr="00440F15">
        <w:trPr>
          <w:trHeight w:val="315"/>
        </w:trPr>
        <w:tc>
          <w:tcPr>
            <w:tcW w:w="1134" w:type="dxa"/>
            <w:noWrap/>
            <w:vAlign w:val="center"/>
            <w:hideMark/>
          </w:tcPr>
          <w:p w14:paraId="66A94C89" w14:textId="77777777" w:rsidR="00596FDB" w:rsidRPr="00730CC1" w:rsidRDefault="00596FDB" w:rsidP="00F43244">
            <w:pPr>
              <w:spacing w:line="240" w:lineRule="auto"/>
              <w:contextualSpacing/>
              <w:rPr>
                <w:rFonts w:ascii="Times New Roman" w:hAnsi="Times New Roman"/>
                <w:b/>
                <w:color w:val="000000"/>
                <w:sz w:val="20"/>
                <w:szCs w:val="20"/>
                <w:lang w:eastAsia="en-US"/>
              </w:rPr>
            </w:pPr>
            <w:r w:rsidRPr="00730CC1">
              <w:rPr>
                <w:rFonts w:ascii="Times New Roman" w:hAnsi="Times New Roman"/>
                <w:b/>
                <w:color w:val="000000"/>
                <w:sz w:val="20"/>
                <w:szCs w:val="20"/>
                <w:lang w:eastAsia="en-US"/>
              </w:rPr>
              <w:t>Liepa</w:t>
            </w:r>
          </w:p>
        </w:tc>
        <w:tc>
          <w:tcPr>
            <w:tcW w:w="960" w:type="dxa"/>
            <w:noWrap/>
            <w:vAlign w:val="center"/>
            <w:hideMark/>
          </w:tcPr>
          <w:p w14:paraId="07EA1D62" w14:textId="6ED83FB4" w:rsidR="00596FDB" w:rsidRPr="00730CC1" w:rsidRDefault="00596FDB" w:rsidP="00F43244">
            <w:pPr>
              <w:spacing w:line="240" w:lineRule="auto"/>
              <w:contextualSpacing/>
              <w:jc w:val="center"/>
              <w:rPr>
                <w:rFonts w:ascii="Times New Roman" w:hAnsi="Times New Roman"/>
                <w:color w:val="000000"/>
                <w:sz w:val="20"/>
                <w:szCs w:val="20"/>
                <w:lang w:eastAsia="en-US"/>
              </w:rPr>
            </w:pPr>
            <w:r w:rsidRPr="00730CC1">
              <w:rPr>
                <w:rFonts w:ascii="Times New Roman" w:hAnsi="Times New Roman"/>
                <w:color w:val="000000"/>
                <w:sz w:val="20"/>
                <w:szCs w:val="20"/>
                <w:lang w:eastAsia="en-US"/>
              </w:rPr>
              <w:t>241</w:t>
            </w:r>
            <w:r w:rsidR="00547417">
              <w:rPr>
                <w:rFonts w:ascii="Times New Roman" w:hAnsi="Times New Roman"/>
                <w:color w:val="000000"/>
                <w:sz w:val="20"/>
                <w:szCs w:val="20"/>
                <w:lang w:eastAsia="en-US"/>
              </w:rPr>
              <w:t> </w:t>
            </w:r>
            <w:r w:rsidRPr="00730CC1">
              <w:rPr>
                <w:rFonts w:ascii="Times New Roman" w:hAnsi="Times New Roman"/>
                <w:color w:val="000000"/>
                <w:sz w:val="20"/>
                <w:szCs w:val="20"/>
                <w:lang w:eastAsia="en-US"/>
              </w:rPr>
              <w:t>492</w:t>
            </w:r>
          </w:p>
        </w:tc>
        <w:tc>
          <w:tcPr>
            <w:tcW w:w="1080" w:type="dxa"/>
            <w:noWrap/>
            <w:vAlign w:val="center"/>
            <w:hideMark/>
          </w:tcPr>
          <w:p w14:paraId="3B75E483" w14:textId="3845C5C8" w:rsidR="00596FDB" w:rsidRPr="00730CC1" w:rsidRDefault="00596FDB" w:rsidP="00F43244">
            <w:pPr>
              <w:spacing w:line="240" w:lineRule="auto"/>
              <w:contextualSpacing/>
              <w:jc w:val="center"/>
              <w:rPr>
                <w:rFonts w:ascii="Times New Roman" w:hAnsi="Times New Roman"/>
                <w:color w:val="000000"/>
                <w:sz w:val="20"/>
                <w:szCs w:val="20"/>
                <w:lang w:eastAsia="en-US"/>
              </w:rPr>
            </w:pPr>
            <w:r w:rsidRPr="00730CC1">
              <w:rPr>
                <w:rFonts w:ascii="Times New Roman" w:hAnsi="Times New Roman"/>
                <w:color w:val="000000"/>
                <w:sz w:val="20"/>
                <w:szCs w:val="20"/>
                <w:lang w:eastAsia="en-US"/>
              </w:rPr>
              <w:t>260</w:t>
            </w:r>
            <w:r w:rsidR="00547417">
              <w:rPr>
                <w:rFonts w:ascii="Times New Roman" w:hAnsi="Times New Roman"/>
                <w:color w:val="000000"/>
                <w:sz w:val="20"/>
                <w:szCs w:val="20"/>
                <w:lang w:eastAsia="en-US"/>
              </w:rPr>
              <w:t> </w:t>
            </w:r>
            <w:r w:rsidRPr="00730CC1">
              <w:rPr>
                <w:rFonts w:ascii="Times New Roman" w:hAnsi="Times New Roman"/>
                <w:color w:val="000000"/>
                <w:sz w:val="20"/>
                <w:szCs w:val="20"/>
                <w:lang w:eastAsia="en-US"/>
              </w:rPr>
              <w:t>643</w:t>
            </w:r>
          </w:p>
        </w:tc>
        <w:tc>
          <w:tcPr>
            <w:tcW w:w="1023" w:type="dxa"/>
            <w:noWrap/>
            <w:vAlign w:val="center"/>
            <w:hideMark/>
          </w:tcPr>
          <w:p w14:paraId="34CC3A00" w14:textId="1508035B" w:rsidR="00596FDB" w:rsidRPr="00730CC1" w:rsidRDefault="00596FDB" w:rsidP="00F43244">
            <w:pPr>
              <w:spacing w:line="240" w:lineRule="auto"/>
              <w:contextualSpacing/>
              <w:jc w:val="center"/>
              <w:rPr>
                <w:rFonts w:ascii="Times New Roman" w:hAnsi="Times New Roman"/>
                <w:color w:val="000000"/>
                <w:sz w:val="20"/>
                <w:szCs w:val="20"/>
                <w:lang w:eastAsia="en-US"/>
              </w:rPr>
            </w:pPr>
            <w:r w:rsidRPr="00730CC1">
              <w:rPr>
                <w:rFonts w:ascii="Times New Roman" w:hAnsi="Times New Roman"/>
                <w:color w:val="000000"/>
                <w:sz w:val="20"/>
                <w:szCs w:val="20"/>
                <w:lang w:eastAsia="en-US"/>
              </w:rPr>
              <w:t>234</w:t>
            </w:r>
            <w:r w:rsidR="00547417">
              <w:rPr>
                <w:rFonts w:ascii="Times New Roman" w:hAnsi="Times New Roman"/>
                <w:color w:val="000000"/>
                <w:sz w:val="20"/>
                <w:szCs w:val="20"/>
                <w:lang w:eastAsia="en-US"/>
              </w:rPr>
              <w:t> </w:t>
            </w:r>
            <w:r w:rsidRPr="00730CC1">
              <w:rPr>
                <w:rFonts w:ascii="Times New Roman" w:hAnsi="Times New Roman"/>
                <w:color w:val="000000"/>
                <w:sz w:val="20"/>
                <w:szCs w:val="20"/>
                <w:lang w:eastAsia="en-US"/>
              </w:rPr>
              <w:t>333</w:t>
            </w:r>
          </w:p>
        </w:tc>
        <w:tc>
          <w:tcPr>
            <w:tcW w:w="1047" w:type="dxa"/>
            <w:noWrap/>
            <w:vAlign w:val="center"/>
            <w:hideMark/>
          </w:tcPr>
          <w:p w14:paraId="19D9E59F" w14:textId="4186A110" w:rsidR="00596FDB" w:rsidRPr="00730CC1" w:rsidRDefault="00596FDB" w:rsidP="00F43244">
            <w:pPr>
              <w:spacing w:line="240" w:lineRule="auto"/>
              <w:contextualSpacing/>
              <w:jc w:val="center"/>
              <w:rPr>
                <w:rFonts w:ascii="Times New Roman" w:hAnsi="Times New Roman"/>
                <w:color w:val="000000"/>
                <w:sz w:val="20"/>
                <w:szCs w:val="20"/>
                <w:lang w:eastAsia="en-US"/>
              </w:rPr>
            </w:pPr>
            <w:r w:rsidRPr="00730CC1">
              <w:rPr>
                <w:rFonts w:ascii="Times New Roman" w:hAnsi="Times New Roman"/>
                <w:color w:val="000000"/>
                <w:sz w:val="20"/>
                <w:szCs w:val="20"/>
                <w:lang w:eastAsia="en-US"/>
              </w:rPr>
              <w:t>387</w:t>
            </w:r>
            <w:r w:rsidR="00547417">
              <w:rPr>
                <w:rFonts w:ascii="Times New Roman" w:hAnsi="Times New Roman"/>
                <w:color w:val="000000"/>
                <w:sz w:val="20"/>
                <w:szCs w:val="20"/>
                <w:lang w:eastAsia="en-US"/>
              </w:rPr>
              <w:t> </w:t>
            </w:r>
            <w:r w:rsidRPr="00730CC1">
              <w:rPr>
                <w:rFonts w:ascii="Times New Roman" w:hAnsi="Times New Roman"/>
                <w:color w:val="000000"/>
                <w:sz w:val="20"/>
                <w:szCs w:val="20"/>
                <w:lang w:eastAsia="en-US"/>
              </w:rPr>
              <w:t>447</w:t>
            </w:r>
          </w:p>
        </w:tc>
        <w:tc>
          <w:tcPr>
            <w:tcW w:w="990" w:type="dxa"/>
            <w:noWrap/>
            <w:vAlign w:val="center"/>
            <w:hideMark/>
          </w:tcPr>
          <w:p w14:paraId="574AD383"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r w:rsidRPr="00730CC1">
              <w:rPr>
                <w:rFonts w:ascii="Times New Roman" w:hAnsi="Times New Roman"/>
                <w:color w:val="000000"/>
                <w:sz w:val="20"/>
                <w:szCs w:val="20"/>
                <w:lang w:eastAsia="en-US"/>
              </w:rPr>
              <w:t>504011</w:t>
            </w:r>
          </w:p>
        </w:tc>
        <w:tc>
          <w:tcPr>
            <w:tcW w:w="990" w:type="dxa"/>
            <w:noWrap/>
            <w:vAlign w:val="center"/>
            <w:hideMark/>
          </w:tcPr>
          <w:p w14:paraId="6CA11EC1" w14:textId="1B3A5233" w:rsidR="00596FDB" w:rsidRPr="00730CC1" w:rsidRDefault="00596FDB" w:rsidP="00F43244">
            <w:pPr>
              <w:spacing w:line="240" w:lineRule="auto"/>
              <w:contextualSpacing/>
              <w:jc w:val="center"/>
              <w:rPr>
                <w:rFonts w:ascii="Times New Roman" w:hAnsi="Times New Roman"/>
                <w:color w:val="000000"/>
                <w:sz w:val="20"/>
                <w:szCs w:val="20"/>
                <w:lang w:eastAsia="en-US"/>
              </w:rPr>
            </w:pPr>
            <w:r w:rsidRPr="00730CC1">
              <w:rPr>
                <w:rFonts w:ascii="Times New Roman" w:hAnsi="Times New Roman"/>
                <w:color w:val="000000"/>
                <w:sz w:val="20"/>
                <w:szCs w:val="20"/>
                <w:lang w:eastAsia="en-US"/>
              </w:rPr>
              <w:t>482</w:t>
            </w:r>
            <w:r w:rsidR="00547417">
              <w:rPr>
                <w:rFonts w:ascii="Times New Roman" w:hAnsi="Times New Roman"/>
                <w:color w:val="000000"/>
                <w:sz w:val="20"/>
                <w:szCs w:val="20"/>
                <w:lang w:eastAsia="en-US"/>
              </w:rPr>
              <w:t> </w:t>
            </w:r>
            <w:r w:rsidRPr="00730CC1">
              <w:rPr>
                <w:rFonts w:ascii="Times New Roman" w:hAnsi="Times New Roman"/>
                <w:color w:val="000000"/>
                <w:sz w:val="20"/>
                <w:szCs w:val="20"/>
                <w:lang w:eastAsia="en-US"/>
              </w:rPr>
              <w:t>225</w:t>
            </w:r>
          </w:p>
        </w:tc>
        <w:tc>
          <w:tcPr>
            <w:tcW w:w="1080" w:type="dxa"/>
            <w:noWrap/>
            <w:vAlign w:val="center"/>
            <w:hideMark/>
          </w:tcPr>
          <w:p w14:paraId="7C25CDF7"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p>
        </w:tc>
        <w:tc>
          <w:tcPr>
            <w:tcW w:w="1260" w:type="dxa"/>
            <w:noWrap/>
            <w:vAlign w:val="center"/>
            <w:hideMark/>
          </w:tcPr>
          <w:p w14:paraId="515B86AC" w14:textId="35BC7CE7" w:rsidR="00596FDB" w:rsidRPr="00730CC1" w:rsidRDefault="00596FDB" w:rsidP="00F43244">
            <w:pPr>
              <w:spacing w:line="240" w:lineRule="auto"/>
              <w:contextualSpacing/>
              <w:jc w:val="center"/>
              <w:rPr>
                <w:rFonts w:ascii="Times New Roman" w:hAnsi="Times New Roman"/>
                <w:color w:val="000000"/>
                <w:sz w:val="20"/>
                <w:szCs w:val="20"/>
                <w:lang w:eastAsia="en-US"/>
              </w:rPr>
            </w:pPr>
            <w:r w:rsidRPr="00730CC1">
              <w:rPr>
                <w:rFonts w:ascii="Times New Roman" w:hAnsi="Times New Roman"/>
                <w:color w:val="000000"/>
                <w:sz w:val="20"/>
                <w:szCs w:val="20"/>
                <w:lang w:eastAsia="en-US"/>
              </w:rPr>
              <w:t>377</w:t>
            </w:r>
            <w:r w:rsidR="00547417">
              <w:rPr>
                <w:rFonts w:ascii="Times New Roman" w:hAnsi="Times New Roman"/>
                <w:color w:val="000000"/>
                <w:sz w:val="20"/>
                <w:szCs w:val="20"/>
                <w:lang w:eastAsia="en-US"/>
              </w:rPr>
              <w:t> </w:t>
            </w:r>
            <w:r w:rsidRPr="00730CC1">
              <w:rPr>
                <w:rFonts w:ascii="Times New Roman" w:hAnsi="Times New Roman"/>
                <w:color w:val="000000"/>
                <w:sz w:val="20"/>
                <w:szCs w:val="20"/>
                <w:lang w:eastAsia="en-US"/>
              </w:rPr>
              <w:t>819</w:t>
            </w:r>
          </w:p>
        </w:tc>
      </w:tr>
      <w:tr w:rsidR="00596FDB" w:rsidRPr="00730CC1" w14:paraId="3C0FD325" w14:textId="77777777" w:rsidTr="00440F15">
        <w:trPr>
          <w:trHeight w:val="315"/>
        </w:trPr>
        <w:tc>
          <w:tcPr>
            <w:tcW w:w="1134" w:type="dxa"/>
            <w:shd w:val="clear" w:color="auto" w:fill="F6E2A3"/>
            <w:noWrap/>
            <w:vAlign w:val="center"/>
            <w:hideMark/>
          </w:tcPr>
          <w:p w14:paraId="22FBBD2F" w14:textId="77777777" w:rsidR="00596FDB" w:rsidRPr="00730CC1" w:rsidRDefault="00596FDB" w:rsidP="00F43244">
            <w:pPr>
              <w:spacing w:line="240" w:lineRule="auto"/>
              <w:contextualSpacing/>
              <w:rPr>
                <w:rFonts w:ascii="Times New Roman" w:hAnsi="Times New Roman"/>
                <w:b/>
                <w:color w:val="000000"/>
                <w:sz w:val="20"/>
                <w:szCs w:val="20"/>
                <w:lang w:eastAsia="en-US"/>
              </w:rPr>
            </w:pPr>
            <w:r w:rsidRPr="00730CC1">
              <w:rPr>
                <w:rFonts w:ascii="Times New Roman" w:hAnsi="Times New Roman"/>
                <w:b/>
                <w:color w:val="000000"/>
                <w:sz w:val="20"/>
                <w:szCs w:val="20"/>
                <w:lang w:eastAsia="en-US"/>
              </w:rPr>
              <w:t>Rugpjūtis</w:t>
            </w:r>
          </w:p>
        </w:tc>
        <w:tc>
          <w:tcPr>
            <w:tcW w:w="960" w:type="dxa"/>
            <w:shd w:val="clear" w:color="auto" w:fill="F6E2A3"/>
            <w:noWrap/>
            <w:vAlign w:val="center"/>
            <w:hideMark/>
          </w:tcPr>
          <w:p w14:paraId="2E958885" w14:textId="7910C80F" w:rsidR="00596FDB" w:rsidRPr="00730CC1" w:rsidRDefault="00596FDB" w:rsidP="00F43244">
            <w:pPr>
              <w:spacing w:line="240" w:lineRule="auto"/>
              <w:contextualSpacing/>
              <w:jc w:val="center"/>
              <w:rPr>
                <w:rFonts w:ascii="Times New Roman" w:hAnsi="Times New Roman"/>
                <w:color w:val="000000"/>
                <w:sz w:val="20"/>
                <w:szCs w:val="20"/>
                <w:lang w:eastAsia="en-US"/>
              </w:rPr>
            </w:pPr>
            <w:r w:rsidRPr="00730CC1">
              <w:rPr>
                <w:rFonts w:ascii="Times New Roman" w:hAnsi="Times New Roman"/>
                <w:color w:val="000000"/>
                <w:sz w:val="20"/>
                <w:szCs w:val="20"/>
                <w:lang w:eastAsia="en-US"/>
              </w:rPr>
              <w:t>245</w:t>
            </w:r>
            <w:r w:rsidR="00547417">
              <w:rPr>
                <w:rFonts w:ascii="Times New Roman" w:hAnsi="Times New Roman"/>
                <w:color w:val="000000"/>
                <w:sz w:val="20"/>
                <w:szCs w:val="20"/>
                <w:lang w:eastAsia="en-US"/>
              </w:rPr>
              <w:t> </w:t>
            </w:r>
            <w:r w:rsidRPr="00730CC1">
              <w:rPr>
                <w:rFonts w:ascii="Times New Roman" w:hAnsi="Times New Roman"/>
                <w:color w:val="000000"/>
                <w:sz w:val="20"/>
                <w:szCs w:val="20"/>
                <w:lang w:eastAsia="en-US"/>
              </w:rPr>
              <w:t>035</w:t>
            </w:r>
          </w:p>
        </w:tc>
        <w:tc>
          <w:tcPr>
            <w:tcW w:w="1080" w:type="dxa"/>
            <w:shd w:val="clear" w:color="auto" w:fill="F6E2A3"/>
            <w:noWrap/>
            <w:vAlign w:val="center"/>
            <w:hideMark/>
          </w:tcPr>
          <w:p w14:paraId="39A324FE"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p>
        </w:tc>
        <w:tc>
          <w:tcPr>
            <w:tcW w:w="1023" w:type="dxa"/>
            <w:shd w:val="clear" w:color="auto" w:fill="F6E2A3"/>
            <w:noWrap/>
            <w:vAlign w:val="center"/>
            <w:hideMark/>
          </w:tcPr>
          <w:p w14:paraId="42CEF379"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p>
        </w:tc>
        <w:tc>
          <w:tcPr>
            <w:tcW w:w="1047" w:type="dxa"/>
            <w:shd w:val="clear" w:color="auto" w:fill="F6E2A3"/>
            <w:noWrap/>
            <w:vAlign w:val="center"/>
            <w:hideMark/>
          </w:tcPr>
          <w:p w14:paraId="185F4293"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p>
        </w:tc>
        <w:tc>
          <w:tcPr>
            <w:tcW w:w="990" w:type="dxa"/>
            <w:shd w:val="clear" w:color="auto" w:fill="F6E2A3"/>
            <w:noWrap/>
            <w:vAlign w:val="center"/>
            <w:hideMark/>
          </w:tcPr>
          <w:p w14:paraId="1989BE2C"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p>
        </w:tc>
        <w:tc>
          <w:tcPr>
            <w:tcW w:w="990" w:type="dxa"/>
            <w:shd w:val="clear" w:color="auto" w:fill="F6E2A3"/>
            <w:noWrap/>
            <w:vAlign w:val="center"/>
            <w:hideMark/>
          </w:tcPr>
          <w:p w14:paraId="54515D5F"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p>
        </w:tc>
        <w:tc>
          <w:tcPr>
            <w:tcW w:w="1080" w:type="dxa"/>
            <w:shd w:val="clear" w:color="auto" w:fill="F6E2A3"/>
            <w:noWrap/>
            <w:vAlign w:val="center"/>
            <w:hideMark/>
          </w:tcPr>
          <w:p w14:paraId="5077F8FA" w14:textId="34DB2702" w:rsidR="00596FDB" w:rsidRPr="00730CC1" w:rsidRDefault="00596FDB" w:rsidP="00F43244">
            <w:pPr>
              <w:spacing w:line="240" w:lineRule="auto"/>
              <w:contextualSpacing/>
              <w:jc w:val="center"/>
              <w:rPr>
                <w:rFonts w:ascii="Times New Roman" w:hAnsi="Times New Roman"/>
                <w:color w:val="000000"/>
                <w:sz w:val="20"/>
                <w:szCs w:val="20"/>
                <w:lang w:eastAsia="en-US"/>
              </w:rPr>
            </w:pPr>
            <w:r w:rsidRPr="00730CC1">
              <w:rPr>
                <w:rFonts w:ascii="Times New Roman" w:hAnsi="Times New Roman"/>
                <w:color w:val="000000"/>
                <w:sz w:val="20"/>
                <w:szCs w:val="20"/>
                <w:lang w:eastAsia="en-US"/>
              </w:rPr>
              <w:t>428</w:t>
            </w:r>
            <w:r w:rsidR="00547417">
              <w:rPr>
                <w:rFonts w:ascii="Times New Roman" w:hAnsi="Times New Roman"/>
                <w:color w:val="000000"/>
                <w:sz w:val="20"/>
                <w:szCs w:val="20"/>
                <w:lang w:eastAsia="en-US"/>
              </w:rPr>
              <w:t> </w:t>
            </w:r>
            <w:r w:rsidRPr="00730CC1">
              <w:rPr>
                <w:rFonts w:ascii="Times New Roman" w:hAnsi="Times New Roman"/>
                <w:color w:val="000000"/>
                <w:sz w:val="20"/>
                <w:szCs w:val="20"/>
                <w:lang w:eastAsia="en-US"/>
              </w:rPr>
              <w:t>992</w:t>
            </w:r>
          </w:p>
        </w:tc>
        <w:tc>
          <w:tcPr>
            <w:tcW w:w="1260" w:type="dxa"/>
            <w:shd w:val="clear" w:color="auto" w:fill="F6E2A3"/>
            <w:noWrap/>
            <w:vAlign w:val="center"/>
            <w:hideMark/>
          </w:tcPr>
          <w:p w14:paraId="25976524"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p>
        </w:tc>
      </w:tr>
      <w:tr w:rsidR="00596FDB" w:rsidRPr="00730CC1" w14:paraId="436B40DD" w14:textId="77777777" w:rsidTr="00440F15">
        <w:trPr>
          <w:trHeight w:val="315"/>
        </w:trPr>
        <w:tc>
          <w:tcPr>
            <w:tcW w:w="1134" w:type="dxa"/>
            <w:noWrap/>
            <w:vAlign w:val="center"/>
            <w:hideMark/>
          </w:tcPr>
          <w:p w14:paraId="46240DB4" w14:textId="77777777" w:rsidR="00596FDB" w:rsidRPr="00730CC1" w:rsidRDefault="00596FDB" w:rsidP="00F43244">
            <w:pPr>
              <w:spacing w:line="240" w:lineRule="auto"/>
              <w:contextualSpacing/>
              <w:rPr>
                <w:rFonts w:ascii="Times New Roman" w:hAnsi="Times New Roman"/>
                <w:b/>
                <w:color w:val="000000"/>
                <w:sz w:val="20"/>
                <w:szCs w:val="20"/>
                <w:lang w:eastAsia="en-US"/>
              </w:rPr>
            </w:pPr>
            <w:r w:rsidRPr="00730CC1">
              <w:rPr>
                <w:rFonts w:ascii="Times New Roman" w:hAnsi="Times New Roman"/>
                <w:b/>
                <w:color w:val="000000"/>
                <w:sz w:val="20"/>
                <w:szCs w:val="20"/>
                <w:lang w:eastAsia="en-US"/>
              </w:rPr>
              <w:t>Rugsėjis</w:t>
            </w:r>
          </w:p>
        </w:tc>
        <w:tc>
          <w:tcPr>
            <w:tcW w:w="960" w:type="dxa"/>
            <w:noWrap/>
            <w:vAlign w:val="center"/>
            <w:hideMark/>
          </w:tcPr>
          <w:p w14:paraId="702E955E" w14:textId="13D7E867" w:rsidR="00596FDB" w:rsidRPr="00730CC1" w:rsidRDefault="00596FDB" w:rsidP="00F43244">
            <w:pPr>
              <w:spacing w:line="240" w:lineRule="auto"/>
              <w:contextualSpacing/>
              <w:jc w:val="center"/>
              <w:rPr>
                <w:rFonts w:ascii="Times New Roman" w:hAnsi="Times New Roman"/>
                <w:color w:val="000000"/>
                <w:sz w:val="20"/>
                <w:szCs w:val="20"/>
                <w:lang w:eastAsia="en-US"/>
              </w:rPr>
            </w:pPr>
            <w:r w:rsidRPr="00730CC1">
              <w:rPr>
                <w:rFonts w:ascii="Times New Roman" w:hAnsi="Times New Roman"/>
                <w:color w:val="000000"/>
                <w:sz w:val="20"/>
                <w:szCs w:val="20"/>
                <w:lang w:eastAsia="en-US"/>
              </w:rPr>
              <w:t>247</w:t>
            </w:r>
            <w:r w:rsidR="00547417">
              <w:rPr>
                <w:rFonts w:ascii="Times New Roman" w:hAnsi="Times New Roman"/>
                <w:color w:val="000000"/>
                <w:sz w:val="20"/>
                <w:szCs w:val="20"/>
                <w:lang w:eastAsia="en-US"/>
              </w:rPr>
              <w:t> </w:t>
            </w:r>
            <w:r w:rsidRPr="00730CC1">
              <w:rPr>
                <w:rFonts w:ascii="Times New Roman" w:hAnsi="Times New Roman"/>
                <w:color w:val="000000"/>
                <w:sz w:val="20"/>
                <w:szCs w:val="20"/>
                <w:lang w:eastAsia="en-US"/>
              </w:rPr>
              <w:t>082</w:t>
            </w:r>
          </w:p>
        </w:tc>
        <w:tc>
          <w:tcPr>
            <w:tcW w:w="1080" w:type="dxa"/>
            <w:noWrap/>
            <w:vAlign w:val="center"/>
            <w:hideMark/>
          </w:tcPr>
          <w:p w14:paraId="46253554" w14:textId="67C158EE" w:rsidR="00596FDB" w:rsidRPr="00730CC1" w:rsidRDefault="00596FDB" w:rsidP="00F43244">
            <w:pPr>
              <w:spacing w:line="240" w:lineRule="auto"/>
              <w:contextualSpacing/>
              <w:jc w:val="center"/>
              <w:rPr>
                <w:rFonts w:ascii="Times New Roman" w:hAnsi="Times New Roman"/>
                <w:color w:val="000000"/>
                <w:sz w:val="20"/>
                <w:szCs w:val="20"/>
                <w:lang w:eastAsia="en-US"/>
              </w:rPr>
            </w:pPr>
            <w:r w:rsidRPr="00730CC1">
              <w:rPr>
                <w:rFonts w:ascii="Times New Roman" w:hAnsi="Times New Roman"/>
                <w:color w:val="000000"/>
                <w:sz w:val="20"/>
                <w:szCs w:val="20"/>
                <w:lang w:eastAsia="en-US"/>
              </w:rPr>
              <w:t>260</w:t>
            </w:r>
            <w:r w:rsidR="00547417">
              <w:rPr>
                <w:rFonts w:ascii="Times New Roman" w:hAnsi="Times New Roman"/>
                <w:color w:val="000000"/>
                <w:sz w:val="20"/>
                <w:szCs w:val="20"/>
                <w:lang w:eastAsia="en-US"/>
              </w:rPr>
              <w:t> </w:t>
            </w:r>
            <w:r w:rsidRPr="00730CC1">
              <w:rPr>
                <w:rFonts w:ascii="Times New Roman" w:hAnsi="Times New Roman"/>
                <w:color w:val="000000"/>
                <w:sz w:val="20"/>
                <w:szCs w:val="20"/>
                <w:lang w:eastAsia="en-US"/>
              </w:rPr>
              <w:t>236</w:t>
            </w:r>
          </w:p>
        </w:tc>
        <w:tc>
          <w:tcPr>
            <w:tcW w:w="1023" w:type="dxa"/>
            <w:noWrap/>
            <w:vAlign w:val="center"/>
            <w:hideMark/>
          </w:tcPr>
          <w:p w14:paraId="1C7BACDD" w14:textId="6F757BC5" w:rsidR="00596FDB" w:rsidRPr="00730CC1" w:rsidRDefault="00596FDB" w:rsidP="00F43244">
            <w:pPr>
              <w:spacing w:line="240" w:lineRule="auto"/>
              <w:contextualSpacing/>
              <w:jc w:val="center"/>
              <w:rPr>
                <w:rFonts w:ascii="Times New Roman" w:hAnsi="Times New Roman"/>
                <w:color w:val="000000"/>
                <w:sz w:val="20"/>
                <w:szCs w:val="20"/>
                <w:lang w:eastAsia="en-US"/>
              </w:rPr>
            </w:pPr>
            <w:r w:rsidRPr="00730CC1">
              <w:rPr>
                <w:rFonts w:ascii="Times New Roman" w:hAnsi="Times New Roman"/>
                <w:color w:val="000000"/>
                <w:sz w:val="20"/>
                <w:szCs w:val="20"/>
                <w:lang w:eastAsia="en-US"/>
              </w:rPr>
              <w:t>238</w:t>
            </w:r>
            <w:r w:rsidR="00547417">
              <w:rPr>
                <w:rFonts w:ascii="Times New Roman" w:hAnsi="Times New Roman"/>
                <w:color w:val="000000"/>
                <w:sz w:val="20"/>
                <w:szCs w:val="20"/>
                <w:lang w:eastAsia="en-US"/>
              </w:rPr>
              <w:t> </w:t>
            </w:r>
            <w:r w:rsidRPr="00730CC1">
              <w:rPr>
                <w:rFonts w:ascii="Times New Roman" w:hAnsi="Times New Roman"/>
                <w:color w:val="000000"/>
                <w:sz w:val="20"/>
                <w:szCs w:val="20"/>
                <w:lang w:eastAsia="en-US"/>
              </w:rPr>
              <w:t>726</w:t>
            </w:r>
          </w:p>
        </w:tc>
        <w:tc>
          <w:tcPr>
            <w:tcW w:w="1047" w:type="dxa"/>
            <w:noWrap/>
            <w:vAlign w:val="center"/>
            <w:hideMark/>
          </w:tcPr>
          <w:p w14:paraId="4FA3497D" w14:textId="64DDA7F8" w:rsidR="00596FDB" w:rsidRPr="00730CC1" w:rsidRDefault="00596FDB" w:rsidP="00F43244">
            <w:pPr>
              <w:spacing w:line="240" w:lineRule="auto"/>
              <w:contextualSpacing/>
              <w:jc w:val="center"/>
              <w:rPr>
                <w:rFonts w:ascii="Times New Roman" w:hAnsi="Times New Roman"/>
                <w:color w:val="000000"/>
                <w:sz w:val="20"/>
                <w:szCs w:val="20"/>
                <w:lang w:eastAsia="en-US"/>
              </w:rPr>
            </w:pPr>
            <w:r w:rsidRPr="00730CC1">
              <w:rPr>
                <w:rFonts w:ascii="Times New Roman" w:hAnsi="Times New Roman"/>
                <w:color w:val="000000"/>
                <w:sz w:val="20"/>
                <w:szCs w:val="20"/>
                <w:lang w:eastAsia="en-US"/>
              </w:rPr>
              <w:t>417</w:t>
            </w:r>
            <w:r w:rsidR="00547417">
              <w:rPr>
                <w:rFonts w:ascii="Times New Roman" w:hAnsi="Times New Roman"/>
                <w:color w:val="000000"/>
                <w:sz w:val="20"/>
                <w:szCs w:val="20"/>
                <w:lang w:eastAsia="en-US"/>
              </w:rPr>
              <w:t> </w:t>
            </w:r>
            <w:r w:rsidRPr="00730CC1">
              <w:rPr>
                <w:rFonts w:ascii="Times New Roman" w:hAnsi="Times New Roman"/>
                <w:color w:val="000000"/>
                <w:sz w:val="20"/>
                <w:szCs w:val="20"/>
                <w:lang w:eastAsia="en-US"/>
              </w:rPr>
              <w:t>894</w:t>
            </w:r>
          </w:p>
        </w:tc>
        <w:tc>
          <w:tcPr>
            <w:tcW w:w="990" w:type="dxa"/>
            <w:noWrap/>
            <w:vAlign w:val="center"/>
            <w:hideMark/>
          </w:tcPr>
          <w:p w14:paraId="46472AE2"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r w:rsidRPr="00730CC1">
              <w:rPr>
                <w:rFonts w:ascii="Times New Roman" w:hAnsi="Times New Roman"/>
                <w:color w:val="000000"/>
                <w:sz w:val="20"/>
                <w:szCs w:val="20"/>
                <w:lang w:eastAsia="en-US"/>
              </w:rPr>
              <w:t>520617</w:t>
            </w:r>
          </w:p>
        </w:tc>
        <w:tc>
          <w:tcPr>
            <w:tcW w:w="990" w:type="dxa"/>
            <w:noWrap/>
            <w:vAlign w:val="center"/>
            <w:hideMark/>
          </w:tcPr>
          <w:p w14:paraId="3344FE36" w14:textId="27701D6F" w:rsidR="00596FDB" w:rsidRPr="00730CC1" w:rsidRDefault="00596FDB" w:rsidP="00F43244">
            <w:pPr>
              <w:spacing w:line="240" w:lineRule="auto"/>
              <w:contextualSpacing/>
              <w:jc w:val="center"/>
              <w:rPr>
                <w:rFonts w:ascii="Times New Roman" w:hAnsi="Times New Roman"/>
                <w:color w:val="000000"/>
                <w:sz w:val="20"/>
                <w:szCs w:val="20"/>
                <w:lang w:eastAsia="en-US"/>
              </w:rPr>
            </w:pPr>
            <w:r w:rsidRPr="00730CC1">
              <w:rPr>
                <w:rFonts w:ascii="Times New Roman" w:hAnsi="Times New Roman"/>
                <w:color w:val="000000"/>
                <w:sz w:val="20"/>
                <w:szCs w:val="20"/>
                <w:lang w:eastAsia="en-US"/>
              </w:rPr>
              <w:t>494</w:t>
            </w:r>
            <w:r w:rsidR="00547417">
              <w:rPr>
                <w:rFonts w:ascii="Times New Roman" w:hAnsi="Times New Roman"/>
                <w:color w:val="000000"/>
                <w:sz w:val="20"/>
                <w:szCs w:val="20"/>
                <w:lang w:eastAsia="en-US"/>
              </w:rPr>
              <w:t> </w:t>
            </w:r>
            <w:r w:rsidRPr="00730CC1">
              <w:rPr>
                <w:rFonts w:ascii="Times New Roman" w:hAnsi="Times New Roman"/>
                <w:color w:val="000000"/>
                <w:sz w:val="20"/>
                <w:szCs w:val="20"/>
                <w:lang w:eastAsia="en-US"/>
              </w:rPr>
              <w:t>550</w:t>
            </w:r>
          </w:p>
        </w:tc>
        <w:tc>
          <w:tcPr>
            <w:tcW w:w="1080" w:type="dxa"/>
            <w:noWrap/>
            <w:vAlign w:val="center"/>
            <w:hideMark/>
          </w:tcPr>
          <w:p w14:paraId="78D93CD9"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p>
        </w:tc>
        <w:tc>
          <w:tcPr>
            <w:tcW w:w="1260" w:type="dxa"/>
            <w:noWrap/>
            <w:vAlign w:val="center"/>
            <w:hideMark/>
          </w:tcPr>
          <w:p w14:paraId="41004BDD" w14:textId="1B1080B1" w:rsidR="00596FDB" w:rsidRPr="00730CC1" w:rsidRDefault="00596FDB" w:rsidP="00F43244">
            <w:pPr>
              <w:spacing w:line="240" w:lineRule="auto"/>
              <w:contextualSpacing/>
              <w:jc w:val="center"/>
              <w:rPr>
                <w:rFonts w:ascii="Times New Roman" w:hAnsi="Times New Roman"/>
                <w:color w:val="000000"/>
                <w:sz w:val="20"/>
                <w:szCs w:val="20"/>
                <w:lang w:eastAsia="en-US"/>
              </w:rPr>
            </w:pPr>
            <w:r w:rsidRPr="00730CC1">
              <w:rPr>
                <w:rFonts w:ascii="Times New Roman" w:hAnsi="Times New Roman"/>
                <w:color w:val="000000"/>
                <w:sz w:val="20"/>
                <w:szCs w:val="20"/>
                <w:lang w:eastAsia="en-US"/>
              </w:rPr>
              <w:t>384</w:t>
            </w:r>
            <w:r w:rsidR="00547417">
              <w:rPr>
                <w:rFonts w:ascii="Times New Roman" w:hAnsi="Times New Roman"/>
                <w:color w:val="000000"/>
                <w:sz w:val="20"/>
                <w:szCs w:val="20"/>
                <w:lang w:eastAsia="en-US"/>
              </w:rPr>
              <w:t> </w:t>
            </w:r>
            <w:r w:rsidRPr="00730CC1">
              <w:rPr>
                <w:rFonts w:ascii="Times New Roman" w:hAnsi="Times New Roman"/>
                <w:color w:val="000000"/>
                <w:sz w:val="20"/>
                <w:szCs w:val="20"/>
                <w:lang w:eastAsia="en-US"/>
              </w:rPr>
              <w:t>520</w:t>
            </w:r>
          </w:p>
        </w:tc>
      </w:tr>
      <w:tr w:rsidR="00596FDB" w:rsidRPr="00730CC1" w14:paraId="4F75F20E" w14:textId="77777777" w:rsidTr="00440F15">
        <w:trPr>
          <w:trHeight w:val="315"/>
        </w:trPr>
        <w:tc>
          <w:tcPr>
            <w:tcW w:w="1134" w:type="dxa"/>
            <w:shd w:val="clear" w:color="auto" w:fill="F6E2A3"/>
            <w:noWrap/>
            <w:vAlign w:val="center"/>
            <w:hideMark/>
          </w:tcPr>
          <w:p w14:paraId="04A4477D" w14:textId="77777777" w:rsidR="00596FDB" w:rsidRPr="00730CC1" w:rsidRDefault="00596FDB" w:rsidP="00F43244">
            <w:pPr>
              <w:spacing w:line="240" w:lineRule="auto"/>
              <w:contextualSpacing/>
              <w:rPr>
                <w:rFonts w:ascii="Times New Roman" w:hAnsi="Times New Roman"/>
                <w:b/>
                <w:color w:val="000000"/>
                <w:sz w:val="20"/>
                <w:szCs w:val="20"/>
                <w:lang w:eastAsia="en-US"/>
              </w:rPr>
            </w:pPr>
            <w:r w:rsidRPr="00730CC1">
              <w:rPr>
                <w:rFonts w:ascii="Times New Roman" w:hAnsi="Times New Roman"/>
                <w:b/>
                <w:color w:val="000000"/>
                <w:sz w:val="20"/>
                <w:szCs w:val="20"/>
                <w:lang w:eastAsia="en-US"/>
              </w:rPr>
              <w:t>Spalis</w:t>
            </w:r>
          </w:p>
        </w:tc>
        <w:tc>
          <w:tcPr>
            <w:tcW w:w="960" w:type="dxa"/>
            <w:shd w:val="clear" w:color="auto" w:fill="F6E2A3"/>
            <w:noWrap/>
            <w:vAlign w:val="center"/>
            <w:hideMark/>
          </w:tcPr>
          <w:p w14:paraId="2D573AC9"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p>
        </w:tc>
        <w:tc>
          <w:tcPr>
            <w:tcW w:w="1080" w:type="dxa"/>
            <w:shd w:val="clear" w:color="auto" w:fill="F6E2A3"/>
            <w:noWrap/>
            <w:vAlign w:val="center"/>
            <w:hideMark/>
          </w:tcPr>
          <w:p w14:paraId="06770997"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p>
        </w:tc>
        <w:tc>
          <w:tcPr>
            <w:tcW w:w="1023" w:type="dxa"/>
            <w:shd w:val="clear" w:color="auto" w:fill="F6E2A3"/>
            <w:noWrap/>
            <w:vAlign w:val="center"/>
            <w:hideMark/>
          </w:tcPr>
          <w:p w14:paraId="1FB78DCB"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p>
        </w:tc>
        <w:tc>
          <w:tcPr>
            <w:tcW w:w="1047" w:type="dxa"/>
            <w:shd w:val="clear" w:color="auto" w:fill="F6E2A3"/>
            <w:noWrap/>
            <w:vAlign w:val="center"/>
            <w:hideMark/>
          </w:tcPr>
          <w:p w14:paraId="5FC77777"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p>
        </w:tc>
        <w:tc>
          <w:tcPr>
            <w:tcW w:w="990" w:type="dxa"/>
            <w:shd w:val="clear" w:color="auto" w:fill="F6E2A3"/>
            <w:noWrap/>
            <w:vAlign w:val="center"/>
            <w:hideMark/>
          </w:tcPr>
          <w:p w14:paraId="023EFE74"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p>
        </w:tc>
        <w:tc>
          <w:tcPr>
            <w:tcW w:w="990" w:type="dxa"/>
            <w:shd w:val="clear" w:color="auto" w:fill="F6E2A3"/>
            <w:noWrap/>
            <w:vAlign w:val="center"/>
            <w:hideMark/>
          </w:tcPr>
          <w:p w14:paraId="45B46309"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p>
        </w:tc>
        <w:tc>
          <w:tcPr>
            <w:tcW w:w="1080" w:type="dxa"/>
            <w:shd w:val="clear" w:color="auto" w:fill="F6E2A3"/>
            <w:noWrap/>
            <w:vAlign w:val="center"/>
            <w:hideMark/>
          </w:tcPr>
          <w:p w14:paraId="34482145" w14:textId="56743AC9" w:rsidR="00596FDB" w:rsidRPr="00730CC1" w:rsidRDefault="00596FDB" w:rsidP="00F43244">
            <w:pPr>
              <w:spacing w:line="240" w:lineRule="auto"/>
              <w:contextualSpacing/>
              <w:jc w:val="center"/>
              <w:rPr>
                <w:rFonts w:ascii="Times New Roman" w:hAnsi="Times New Roman"/>
                <w:color w:val="000000"/>
                <w:sz w:val="20"/>
                <w:szCs w:val="20"/>
                <w:lang w:eastAsia="en-US"/>
              </w:rPr>
            </w:pPr>
            <w:r w:rsidRPr="00730CC1">
              <w:rPr>
                <w:rFonts w:ascii="Times New Roman" w:hAnsi="Times New Roman"/>
                <w:color w:val="000000"/>
                <w:sz w:val="20"/>
                <w:szCs w:val="20"/>
                <w:lang w:eastAsia="en-US"/>
              </w:rPr>
              <w:t>438</w:t>
            </w:r>
            <w:r w:rsidR="00547417">
              <w:rPr>
                <w:rFonts w:ascii="Times New Roman" w:hAnsi="Times New Roman"/>
                <w:color w:val="000000"/>
                <w:sz w:val="20"/>
                <w:szCs w:val="20"/>
                <w:lang w:eastAsia="en-US"/>
              </w:rPr>
              <w:t> </w:t>
            </w:r>
            <w:r w:rsidRPr="00730CC1">
              <w:rPr>
                <w:rFonts w:ascii="Times New Roman" w:hAnsi="Times New Roman"/>
                <w:color w:val="000000"/>
                <w:sz w:val="20"/>
                <w:szCs w:val="20"/>
                <w:lang w:eastAsia="en-US"/>
              </w:rPr>
              <w:t>990</w:t>
            </w:r>
          </w:p>
        </w:tc>
        <w:tc>
          <w:tcPr>
            <w:tcW w:w="1260" w:type="dxa"/>
            <w:shd w:val="clear" w:color="auto" w:fill="F6E2A3"/>
            <w:noWrap/>
            <w:vAlign w:val="center"/>
            <w:hideMark/>
          </w:tcPr>
          <w:p w14:paraId="4E312C1B" w14:textId="77777777" w:rsidR="00596FDB" w:rsidRPr="00730CC1" w:rsidRDefault="00596FDB" w:rsidP="00F43244">
            <w:pPr>
              <w:spacing w:line="240" w:lineRule="auto"/>
              <w:contextualSpacing/>
              <w:jc w:val="center"/>
              <w:rPr>
                <w:rFonts w:ascii="Calibri" w:hAnsi="Calibri"/>
                <w:color w:val="000000"/>
                <w:sz w:val="20"/>
                <w:szCs w:val="20"/>
                <w:lang w:eastAsia="en-US"/>
              </w:rPr>
            </w:pPr>
          </w:p>
        </w:tc>
      </w:tr>
      <w:tr w:rsidR="00596FDB" w:rsidRPr="00730CC1" w14:paraId="06AA8E45" w14:textId="77777777" w:rsidTr="00440F15">
        <w:trPr>
          <w:trHeight w:val="315"/>
        </w:trPr>
        <w:tc>
          <w:tcPr>
            <w:tcW w:w="1134" w:type="dxa"/>
            <w:noWrap/>
            <w:vAlign w:val="center"/>
            <w:hideMark/>
          </w:tcPr>
          <w:p w14:paraId="7AD3F2A7" w14:textId="77777777" w:rsidR="00596FDB" w:rsidRPr="00730CC1" w:rsidRDefault="00596FDB" w:rsidP="00F43244">
            <w:pPr>
              <w:spacing w:line="240" w:lineRule="auto"/>
              <w:contextualSpacing/>
              <w:rPr>
                <w:rFonts w:ascii="Times New Roman" w:hAnsi="Times New Roman"/>
                <w:b/>
                <w:color w:val="000000"/>
                <w:sz w:val="20"/>
                <w:szCs w:val="20"/>
                <w:lang w:eastAsia="en-US"/>
              </w:rPr>
            </w:pPr>
            <w:r w:rsidRPr="00730CC1">
              <w:rPr>
                <w:rFonts w:ascii="Times New Roman" w:hAnsi="Times New Roman"/>
                <w:b/>
                <w:color w:val="000000"/>
                <w:sz w:val="20"/>
                <w:szCs w:val="20"/>
                <w:lang w:eastAsia="en-US"/>
              </w:rPr>
              <w:t>Lapkritis</w:t>
            </w:r>
          </w:p>
        </w:tc>
        <w:tc>
          <w:tcPr>
            <w:tcW w:w="960" w:type="dxa"/>
            <w:noWrap/>
            <w:vAlign w:val="center"/>
            <w:hideMark/>
          </w:tcPr>
          <w:p w14:paraId="3010DC44"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p>
        </w:tc>
        <w:tc>
          <w:tcPr>
            <w:tcW w:w="1080" w:type="dxa"/>
            <w:noWrap/>
            <w:vAlign w:val="center"/>
            <w:hideMark/>
          </w:tcPr>
          <w:p w14:paraId="11DEF040" w14:textId="7F7D830A" w:rsidR="00596FDB" w:rsidRPr="00730CC1" w:rsidRDefault="00596FDB" w:rsidP="00F43244">
            <w:pPr>
              <w:spacing w:line="240" w:lineRule="auto"/>
              <w:contextualSpacing/>
              <w:jc w:val="center"/>
              <w:rPr>
                <w:rFonts w:ascii="Times New Roman" w:hAnsi="Times New Roman"/>
                <w:color w:val="000000"/>
                <w:sz w:val="20"/>
                <w:szCs w:val="20"/>
                <w:lang w:eastAsia="en-US"/>
              </w:rPr>
            </w:pPr>
            <w:r w:rsidRPr="00730CC1">
              <w:rPr>
                <w:rFonts w:ascii="Times New Roman" w:hAnsi="Times New Roman"/>
                <w:color w:val="000000"/>
                <w:sz w:val="20"/>
                <w:szCs w:val="20"/>
                <w:lang w:eastAsia="en-US"/>
              </w:rPr>
              <w:t>261</w:t>
            </w:r>
            <w:r w:rsidR="00547417">
              <w:rPr>
                <w:rFonts w:ascii="Times New Roman" w:hAnsi="Times New Roman"/>
                <w:color w:val="000000"/>
                <w:sz w:val="20"/>
                <w:szCs w:val="20"/>
                <w:lang w:eastAsia="en-US"/>
              </w:rPr>
              <w:t> </w:t>
            </w:r>
            <w:r w:rsidRPr="00730CC1">
              <w:rPr>
                <w:rFonts w:ascii="Times New Roman" w:hAnsi="Times New Roman"/>
                <w:color w:val="000000"/>
                <w:sz w:val="20"/>
                <w:szCs w:val="20"/>
                <w:lang w:eastAsia="en-US"/>
              </w:rPr>
              <w:t>802</w:t>
            </w:r>
          </w:p>
        </w:tc>
        <w:tc>
          <w:tcPr>
            <w:tcW w:w="1023" w:type="dxa"/>
            <w:noWrap/>
            <w:vAlign w:val="center"/>
            <w:hideMark/>
          </w:tcPr>
          <w:p w14:paraId="30B38F08" w14:textId="091A19E0" w:rsidR="00596FDB" w:rsidRPr="00730CC1" w:rsidRDefault="00596FDB" w:rsidP="00F43244">
            <w:pPr>
              <w:spacing w:line="240" w:lineRule="auto"/>
              <w:contextualSpacing/>
              <w:jc w:val="center"/>
              <w:rPr>
                <w:rFonts w:ascii="Times New Roman" w:hAnsi="Times New Roman"/>
                <w:color w:val="000000"/>
                <w:sz w:val="20"/>
                <w:szCs w:val="20"/>
                <w:lang w:eastAsia="en-US"/>
              </w:rPr>
            </w:pPr>
            <w:r w:rsidRPr="00730CC1">
              <w:rPr>
                <w:rFonts w:ascii="Times New Roman" w:hAnsi="Times New Roman"/>
                <w:color w:val="000000"/>
                <w:sz w:val="20"/>
                <w:szCs w:val="20"/>
                <w:lang w:eastAsia="en-US"/>
              </w:rPr>
              <w:t>246</w:t>
            </w:r>
            <w:r w:rsidR="00547417">
              <w:rPr>
                <w:rFonts w:ascii="Times New Roman" w:hAnsi="Times New Roman"/>
                <w:color w:val="000000"/>
                <w:sz w:val="20"/>
                <w:szCs w:val="20"/>
                <w:lang w:eastAsia="en-US"/>
              </w:rPr>
              <w:t> </w:t>
            </w:r>
            <w:r w:rsidRPr="00730CC1">
              <w:rPr>
                <w:rFonts w:ascii="Times New Roman" w:hAnsi="Times New Roman"/>
                <w:color w:val="000000"/>
                <w:sz w:val="20"/>
                <w:szCs w:val="20"/>
                <w:lang w:eastAsia="en-US"/>
              </w:rPr>
              <w:t>079</w:t>
            </w:r>
          </w:p>
        </w:tc>
        <w:tc>
          <w:tcPr>
            <w:tcW w:w="1047" w:type="dxa"/>
            <w:noWrap/>
            <w:vAlign w:val="center"/>
            <w:hideMark/>
          </w:tcPr>
          <w:p w14:paraId="73830031" w14:textId="2681C809" w:rsidR="00596FDB" w:rsidRPr="00730CC1" w:rsidRDefault="00596FDB" w:rsidP="00F43244">
            <w:pPr>
              <w:spacing w:line="240" w:lineRule="auto"/>
              <w:contextualSpacing/>
              <w:jc w:val="center"/>
              <w:rPr>
                <w:rFonts w:ascii="Times New Roman" w:hAnsi="Times New Roman"/>
                <w:color w:val="000000"/>
                <w:sz w:val="20"/>
                <w:szCs w:val="20"/>
                <w:lang w:eastAsia="en-US"/>
              </w:rPr>
            </w:pPr>
            <w:r w:rsidRPr="00730CC1">
              <w:rPr>
                <w:rFonts w:ascii="Times New Roman" w:hAnsi="Times New Roman"/>
                <w:color w:val="000000"/>
                <w:sz w:val="20"/>
                <w:szCs w:val="20"/>
                <w:lang w:eastAsia="en-US"/>
              </w:rPr>
              <w:t>455</w:t>
            </w:r>
            <w:r w:rsidR="00547417">
              <w:rPr>
                <w:rFonts w:ascii="Times New Roman" w:hAnsi="Times New Roman"/>
                <w:color w:val="000000"/>
                <w:sz w:val="20"/>
                <w:szCs w:val="20"/>
                <w:lang w:eastAsia="en-US"/>
              </w:rPr>
              <w:t> </w:t>
            </w:r>
            <w:r w:rsidRPr="00730CC1">
              <w:rPr>
                <w:rFonts w:ascii="Times New Roman" w:hAnsi="Times New Roman"/>
                <w:color w:val="000000"/>
                <w:sz w:val="20"/>
                <w:szCs w:val="20"/>
                <w:lang w:eastAsia="en-US"/>
              </w:rPr>
              <w:t>139</w:t>
            </w:r>
          </w:p>
        </w:tc>
        <w:tc>
          <w:tcPr>
            <w:tcW w:w="990" w:type="dxa"/>
            <w:noWrap/>
            <w:vAlign w:val="center"/>
            <w:hideMark/>
          </w:tcPr>
          <w:p w14:paraId="03AB5349"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r w:rsidRPr="00730CC1">
              <w:rPr>
                <w:rFonts w:ascii="Times New Roman" w:hAnsi="Times New Roman"/>
                <w:color w:val="000000"/>
                <w:sz w:val="20"/>
                <w:szCs w:val="20"/>
                <w:lang w:eastAsia="en-US"/>
              </w:rPr>
              <w:t>538491</w:t>
            </w:r>
          </w:p>
        </w:tc>
        <w:tc>
          <w:tcPr>
            <w:tcW w:w="990" w:type="dxa"/>
            <w:noWrap/>
            <w:vAlign w:val="center"/>
            <w:hideMark/>
          </w:tcPr>
          <w:p w14:paraId="5EA6D82E" w14:textId="1325F9ED" w:rsidR="00596FDB" w:rsidRPr="00730CC1" w:rsidRDefault="00596FDB" w:rsidP="00F43244">
            <w:pPr>
              <w:spacing w:line="240" w:lineRule="auto"/>
              <w:contextualSpacing/>
              <w:jc w:val="center"/>
              <w:rPr>
                <w:rFonts w:ascii="Times New Roman" w:hAnsi="Times New Roman"/>
                <w:color w:val="000000"/>
                <w:sz w:val="20"/>
                <w:szCs w:val="20"/>
                <w:lang w:eastAsia="en-US"/>
              </w:rPr>
            </w:pPr>
            <w:r w:rsidRPr="00730CC1">
              <w:rPr>
                <w:rFonts w:ascii="Times New Roman" w:hAnsi="Times New Roman"/>
                <w:color w:val="000000"/>
                <w:sz w:val="20"/>
                <w:szCs w:val="20"/>
                <w:lang w:eastAsia="en-US"/>
              </w:rPr>
              <w:t>505</w:t>
            </w:r>
            <w:r w:rsidR="00547417">
              <w:rPr>
                <w:rFonts w:ascii="Times New Roman" w:hAnsi="Times New Roman"/>
                <w:color w:val="000000"/>
                <w:sz w:val="20"/>
                <w:szCs w:val="20"/>
                <w:lang w:eastAsia="en-US"/>
              </w:rPr>
              <w:t> </w:t>
            </w:r>
            <w:r w:rsidRPr="00730CC1">
              <w:rPr>
                <w:rFonts w:ascii="Times New Roman" w:hAnsi="Times New Roman"/>
                <w:color w:val="000000"/>
                <w:sz w:val="20"/>
                <w:szCs w:val="20"/>
                <w:lang w:eastAsia="en-US"/>
              </w:rPr>
              <w:t>544</w:t>
            </w:r>
          </w:p>
        </w:tc>
        <w:tc>
          <w:tcPr>
            <w:tcW w:w="1080" w:type="dxa"/>
            <w:noWrap/>
            <w:vAlign w:val="center"/>
            <w:hideMark/>
          </w:tcPr>
          <w:p w14:paraId="41C0538C"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p>
        </w:tc>
        <w:tc>
          <w:tcPr>
            <w:tcW w:w="1260" w:type="dxa"/>
            <w:noWrap/>
            <w:vAlign w:val="center"/>
            <w:hideMark/>
          </w:tcPr>
          <w:p w14:paraId="0A51FED9" w14:textId="6325B774" w:rsidR="00596FDB" w:rsidRPr="00730CC1" w:rsidRDefault="00596FDB" w:rsidP="00F43244">
            <w:pPr>
              <w:spacing w:line="240" w:lineRule="auto"/>
              <w:contextualSpacing/>
              <w:jc w:val="center"/>
              <w:rPr>
                <w:rFonts w:ascii="Times New Roman" w:hAnsi="Times New Roman"/>
                <w:color w:val="000000"/>
                <w:sz w:val="20"/>
                <w:szCs w:val="20"/>
                <w:lang w:eastAsia="en-US"/>
              </w:rPr>
            </w:pPr>
            <w:r w:rsidRPr="00730CC1">
              <w:rPr>
                <w:rFonts w:ascii="Times New Roman" w:hAnsi="Times New Roman"/>
                <w:color w:val="000000"/>
                <w:sz w:val="20"/>
                <w:szCs w:val="20"/>
                <w:lang w:eastAsia="en-US"/>
              </w:rPr>
              <w:t>390</w:t>
            </w:r>
            <w:r w:rsidR="00547417">
              <w:rPr>
                <w:rFonts w:ascii="Times New Roman" w:hAnsi="Times New Roman"/>
                <w:color w:val="000000"/>
                <w:sz w:val="20"/>
                <w:szCs w:val="20"/>
                <w:lang w:eastAsia="en-US"/>
              </w:rPr>
              <w:t> </w:t>
            </w:r>
            <w:r w:rsidRPr="00730CC1">
              <w:rPr>
                <w:rFonts w:ascii="Times New Roman" w:hAnsi="Times New Roman"/>
                <w:color w:val="000000"/>
                <w:sz w:val="20"/>
                <w:szCs w:val="20"/>
                <w:lang w:eastAsia="en-US"/>
              </w:rPr>
              <w:t>005</w:t>
            </w:r>
          </w:p>
        </w:tc>
      </w:tr>
      <w:tr w:rsidR="00596FDB" w:rsidRPr="00730CC1" w14:paraId="7F2BE4B3" w14:textId="77777777" w:rsidTr="00440F15">
        <w:trPr>
          <w:trHeight w:val="330"/>
        </w:trPr>
        <w:tc>
          <w:tcPr>
            <w:tcW w:w="1134" w:type="dxa"/>
            <w:shd w:val="clear" w:color="auto" w:fill="F6E2A3"/>
            <w:noWrap/>
            <w:vAlign w:val="center"/>
            <w:hideMark/>
          </w:tcPr>
          <w:p w14:paraId="5820B2D3" w14:textId="77777777" w:rsidR="00596FDB" w:rsidRPr="00730CC1" w:rsidRDefault="00596FDB" w:rsidP="00F43244">
            <w:pPr>
              <w:spacing w:line="240" w:lineRule="auto"/>
              <w:contextualSpacing/>
              <w:rPr>
                <w:rFonts w:ascii="Times New Roman" w:hAnsi="Times New Roman"/>
                <w:b/>
                <w:color w:val="000000"/>
                <w:sz w:val="20"/>
                <w:szCs w:val="20"/>
                <w:lang w:eastAsia="en-US"/>
              </w:rPr>
            </w:pPr>
            <w:r w:rsidRPr="00730CC1">
              <w:rPr>
                <w:rFonts w:ascii="Times New Roman" w:hAnsi="Times New Roman"/>
                <w:b/>
                <w:color w:val="000000"/>
                <w:sz w:val="20"/>
                <w:szCs w:val="20"/>
                <w:lang w:eastAsia="en-US"/>
              </w:rPr>
              <w:t>Gruodis</w:t>
            </w:r>
          </w:p>
        </w:tc>
        <w:tc>
          <w:tcPr>
            <w:tcW w:w="960" w:type="dxa"/>
            <w:shd w:val="clear" w:color="auto" w:fill="F6E2A3"/>
            <w:noWrap/>
            <w:vAlign w:val="center"/>
            <w:hideMark/>
          </w:tcPr>
          <w:p w14:paraId="7979269C"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p>
        </w:tc>
        <w:tc>
          <w:tcPr>
            <w:tcW w:w="1080" w:type="dxa"/>
            <w:shd w:val="clear" w:color="auto" w:fill="F6E2A3"/>
            <w:noWrap/>
            <w:vAlign w:val="center"/>
            <w:hideMark/>
          </w:tcPr>
          <w:p w14:paraId="37CB2655"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p>
        </w:tc>
        <w:tc>
          <w:tcPr>
            <w:tcW w:w="1023" w:type="dxa"/>
            <w:shd w:val="clear" w:color="auto" w:fill="F6E2A3"/>
            <w:noWrap/>
            <w:vAlign w:val="center"/>
            <w:hideMark/>
          </w:tcPr>
          <w:p w14:paraId="078A67DE"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p>
        </w:tc>
        <w:tc>
          <w:tcPr>
            <w:tcW w:w="1047" w:type="dxa"/>
            <w:shd w:val="clear" w:color="auto" w:fill="F6E2A3"/>
            <w:noWrap/>
            <w:vAlign w:val="center"/>
            <w:hideMark/>
          </w:tcPr>
          <w:p w14:paraId="63BF7315"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p>
        </w:tc>
        <w:tc>
          <w:tcPr>
            <w:tcW w:w="990" w:type="dxa"/>
            <w:shd w:val="clear" w:color="auto" w:fill="F6E2A3"/>
            <w:noWrap/>
            <w:vAlign w:val="center"/>
            <w:hideMark/>
          </w:tcPr>
          <w:p w14:paraId="42AED8C0"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p>
        </w:tc>
        <w:tc>
          <w:tcPr>
            <w:tcW w:w="990" w:type="dxa"/>
            <w:shd w:val="clear" w:color="auto" w:fill="F6E2A3"/>
            <w:noWrap/>
            <w:vAlign w:val="center"/>
            <w:hideMark/>
          </w:tcPr>
          <w:p w14:paraId="48BE1BB6" w14:textId="77777777" w:rsidR="00596FDB" w:rsidRPr="00730CC1" w:rsidRDefault="00596FDB" w:rsidP="00F43244">
            <w:pPr>
              <w:spacing w:line="240" w:lineRule="auto"/>
              <w:contextualSpacing/>
              <w:jc w:val="center"/>
              <w:rPr>
                <w:rFonts w:ascii="Times New Roman" w:hAnsi="Times New Roman"/>
                <w:color w:val="000000"/>
                <w:sz w:val="20"/>
                <w:szCs w:val="20"/>
                <w:lang w:eastAsia="en-US"/>
              </w:rPr>
            </w:pPr>
          </w:p>
        </w:tc>
        <w:tc>
          <w:tcPr>
            <w:tcW w:w="1080" w:type="dxa"/>
            <w:shd w:val="clear" w:color="auto" w:fill="F6E2A3"/>
            <w:noWrap/>
            <w:vAlign w:val="center"/>
            <w:hideMark/>
          </w:tcPr>
          <w:p w14:paraId="4039E66A" w14:textId="440020AA" w:rsidR="00596FDB" w:rsidRPr="00730CC1" w:rsidRDefault="00596FDB" w:rsidP="00F43244">
            <w:pPr>
              <w:spacing w:line="240" w:lineRule="auto"/>
              <w:contextualSpacing/>
              <w:jc w:val="center"/>
              <w:rPr>
                <w:rFonts w:ascii="Times New Roman" w:hAnsi="Times New Roman"/>
                <w:color w:val="000000"/>
                <w:sz w:val="20"/>
                <w:szCs w:val="20"/>
                <w:lang w:eastAsia="en-US"/>
              </w:rPr>
            </w:pPr>
            <w:r w:rsidRPr="00730CC1">
              <w:rPr>
                <w:rFonts w:ascii="Times New Roman" w:hAnsi="Times New Roman"/>
                <w:color w:val="000000"/>
                <w:sz w:val="20"/>
                <w:szCs w:val="20"/>
                <w:lang w:eastAsia="en-US"/>
              </w:rPr>
              <w:t>444</w:t>
            </w:r>
            <w:r w:rsidR="00547417">
              <w:rPr>
                <w:rFonts w:ascii="Times New Roman" w:hAnsi="Times New Roman"/>
                <w:color w:val="000000"/>
                <w:sz w:val="20"/>
                <w:szCs w:val="20"/>
                <w:lang w:eastAsia="en-US"/>
              </w:rPr>
              <w:t> </w:t>
            </w:r>
            <w:r w:rsidRPr="00730CC1">
              <w:rPr>
                <w:rFonts w:ascii="Times New Roman" w:hAnsi="Times New Roman"/>
                <w:color w:val="000000"/>
                <w:sz w:val="20"/>
                <w:szCs w:val="20"/>
                <w:lang w:eastAsia="en-US"/>
              </w:rPr>
              <w:t>743</w:t>
            </w:r>
          </w:p>
        </w:tc>
        <w:tc>
          <w:tcPr>
            <w:tcW w:w="1260" w:type="dxa"/>
            <w:shd w:val="clear" w:color="auto" w:fill="F6E2A3"/>
            <w:noWrap/>
            <w:vAlign w:val="center"/>
            <w:hideMark/>
          </w:tcPr>
          <w:p w14:paraId="08494D6C" w14:textId="77777777" w:rsidR="00596FDB" w:rsidRPr="00730CC1" w:rsidRDefault="00596FDB" w:rsidP="00F43244">
            <w:pPr>
              <w:spacing w:line="240" w:lineRule="auto"/>
              <w:contextualSpacing/>
              <w:jc w:val="center"/>
              <w:rPr>
                <w:rFonts w:ascii="Calibri" w:hAnsi="Calibri"/>
                <w:color w:val="000000"/>
                <w:sz w:val="20"/>
                <w:szCs w:val="20"/>
                <w:lang w:eastAsia="en-US"/>
              </w:rPr>
            </w:pPr>
          </w:p>
        </w:tc>
      </w:tr>
    </w:tbl>
    <w:p w14:paraId="51F19745" w14:textId="5484D751" w:rsidR="00596FDB" w:rsidRPr="00730CC1" w:rsidRDefault="00596FDB" w:rsidP="00440F15">
      <w:pPr>
        <w:ind w:left="363"/>
        <w:rPr>
          <w:sz w:val="22"/>
        </w:rPr>
      </w:pPr>
      <w:r w:rsidRPr="00730CC1">
        <w:rPr>
          <w:i/>
          <w:sz w:val="20"/>
          <w:szCs w:val="20"/>
        </w:rPr>
        <w:t>Šaltinis</w:t>
      </w:r>
      <w:r w:rsidRPr="00730CC1">
        <w:rPr>
          <w:sz w:val="20"/>
          <w:szCs w:val="20"/>
        </w:rPr>
        <w:t xml:space="preserve">: VĮ Lietuvos žemės ūkio ir maisto produktų rinkos reguliavimo </w:t>
      </w:r>
      <w:r w:rsidR="000160CE" w:rsidRPr="00730CC1">
        <w:rPr>
          <w:sz w:val="20"/>
          <w:szCs w:val="20"/>
        </w:rPr>
        <w:t>agentūra,</w:t>
      </w:r>
      <w:r w:rsidRPr="00730CC1">
        <w:rPr>
          <w:sz w:val="20"/>
          <w:szCs w:val="20"/>
        </w:rPr>
        <w:t xml:space="preserve"> </w:t>
      </w:r>
      <w:hyperlink r:id="rId11" w:history="1">
        <w:r w:rsidRPr="00730CC1">
          <w:rPr>
            <w:rStyle w:val="Hyperlink"/>
            <w:sz w:val="20"/>
            <w:szCs w:val="20"/>
          </w:rPr>
          <w:t>http://www.litfood.lt/Lists/Publications/AllItems.aspx?RootFolder=http%3a%2f%2fwww%2elitfood%2elt%2fLists%2fPublications%2fPagalba%20maisto%20produktais%2fStatistika&amp;FolderCTID=0x012000EF8B28BBC9FD604F9F45357A684ABF67</w:t>
        </w:r>
      </w:hyperlink>
      <w:r w:rsidRPr="00730CC1">
        <w:rPr>
          <w:sz w:val="22"/>
        </w:rPr>
        <w:t>.</w:t>
      </w:r>
    </w:p>
    <w:p w14:paraId="421AFB57" w14:textId="77777777" w:rsidR="00B7523B" w:rsidRPr="00730CC1" w:rsidRDefault="00B7523B" w:rsidP="00440F15">
      <w:pPr>
        <w:ind w:left="363"/>
        <w:jc w:val="both"/>
        <w:rPr>
          <w:sz w:val="22"/>
        </w:rPr>
      </w:pPr>
    </w:p>
    <w:p w14:paraId="3C450FA7" w14:textId="2C36767F" w:rsidR="00596FDB" w:rsidRPr="00730CC1" w:rsidRDefault="00596FDB" w:rsidP="00440F15">
      <w:pPr>
        <w:ind w:left="363"/>
        <w:jc w:val="both"/>
        <w:rPr>
          <w:rFonts w:cs="Arial"/>
          <w:sz w:val="22"/>
        </w:rPr>
      </w:pPr>
      <w:r w:rsidRPr="00730CC1">
        <w:rPr>
          <w:sz w:val="22"/>
        </w:rPr>
        <w:t xml:space="preserve">Taigi </w:t>
      </w:r>
      <w:r w:rsidRPr="00730CC1">
        <w:rPr>
          <w:rFonts w:cs="Arial"/>
          <w:sz w:val="22"/>
        </w:rPr>
        <w:t xml:space="preserve">Maisto iš intervencinių atsargų tiekimo labiausiai nepasiturintiems asmenims programą pakeisiančios Europos pagalbos labiausiais skurstantiems asmenims fondo remiamos priemonės ne tik išlieka aktualios, bet dėl platesnio remiamų veiklų sąrašo turi potencialą palengvinti itin didelį skurdą patiriančių asmenų padėtį, sudarydamos prielaidas tokiems asmenims įsitraukti į socialinės įtraukties ir užimtumo skatinimo veiklas. </w:t>
      </w:r>
      <w:r w:rsidR="00120646" w:rsidRPr="00730CC1">
        <w:rPr>
          <w:rFonts w:cs="Arial"/>
          <w:sz w:val="22"/>
        </w:rPr>
        <w:t>A</w:t>
      </w:r>
      <w:r w:rsidR="00D34107" w:rsidRPr="00730CC1">
        <w:rPr>
          <w:rFonts w:cs="Arial"/>
          <w:sz w:val="22"/>
        </w:rPr>
        <w:t xml:space="preserve">nkstesniais laikotarpiais parama </w:t>
      </w:r>
      <w:r w:rsidR="00D34107" w:rsidRPr="0020353C">
        <w:rPr>
          <w:rFonts w:cs="Arial"/>
          <w:sz w:val="22"/>
        </w:rPr>
        <w:t>pagrindinio</w:t>
      </w:r>
      <w:r w:rsidR="00D34107" w:rsidRPr="00730CC1">
        <w:rPr>
          <w:rFonts w:cs="Arial"/>
          <w:sz w:val="22"/>
        </w:rPr>
        <w:t xml:space="preserve"> vartojimo prekėmis nebuvo teikiama,</w:t>
      </w:r>
      <w:r w:rsidR="00120646" w:rsidRPr="00730CC1">
        <w:rPr>
          <w:rFonts w:cs="Arial"/>
          <w:sz w:val="22"/>
        </w:rPr>
        <w:t xml:space="preserve"> tačiau interviu su suinteresuotosiomis pusėmis rodo, kad tokios pagalbos poreikis egzistuoja</w:t>
      </w:r>
      <w:r w:rsidR="00120646" w:rsidRPr="00730CC1">
        <w:rPr>
          <w:rStyle w:val="FootnoteReference"/>
          <w:rFonts w:cs="Arial"/>
          <w:sz w:val="22"/>
        </w:rPr>
        <w:footnoteReference w:id="15"/>
      </w:r>
      <w:r w:rsidR="00120646" w:rsidRPr="00730CC1">
        <w:rPr>
          <w:rFonts w:cs="Arial"/>
          <w:sz w:val="22"/>
        </w:rPr>
        <w:t>, nors pripažįstama, kad prioritetas turi būti teikiamas paramai maisto produktais</w:t>
      </w:r>
      <w:r w:rsidR="00120646" w:rsidRPr="00730CC1">
        <w:rPr>
          <w:rStyle w:val="FootnoteReference"/>
          <w:rFonts w:cs="Arial"/>
          <w:sz w:val="22"/>
        </w:rPr>
        <w:footnoteReference w:id="16"/>
      </w:r>
      <w:r w:rsidR="00120646" w:rsidRPr="00730CC1">
        <w:rPr>
          <w:rFonts w:cs="Arial"/>
          <w:sz w:val="22"/>
        </w:rPr>
        <w:t>.</w:t>
      </w:r>
      <w:r w:rsidR="00DC14D2" w:rsidRPr="00730CC1">
        <w:rPr>
          <w:rFonts w:cs="Arial"/>
          <w:sz w:val="22"/>
        </w:rPr>
        <w:t xml:space="preserve"> Visgi </w:t>
      </w:r>
      <w:r w:rsidR="002B66EB" w:rsidRPr="00730CC1">
        <w:rPr>
          <w:rFonts w:cs="Arial"/>
          <w:sz w:val="22"/>
        </w:rPr>
        <w:t xml:space="preserve">teikiant paramą </w:t>
      </w:r>
      <w:r w:rsidR="00DC14D2" w:rsidRPr="00730CC1">
        <w:rPr>
          <w:rFonts w:cs="Arial"/>
          <w:sz w:val="22"/>
        </w:rPr>
        <w:t xml:space="preserve">higienos priemonėmis </w:t>
      </w:r>
      <w:r w:rsidR="002B66EB" w:rsidRPr="00730CC1">
        <w:rPr>
          <w:rFonts w:cs="Arial"/>
          <w:sz w:val="22"/>
        </w:rPr>
        <w:t>(šiai veiklai numatyta apie 30 proc. visų lėšų)</w:t>
      </w:r>
      <w:r w:rsidR="00262904">
        <w:rPr>
          <w:rFonts w:cs="Arial"/>
          <w:sz w:val="22"/>
        </w:rPr>
        <w:t>,</w:t>
      </w:r>
      <w:r w:rsidR="00E863CD" w:rsidRPr="00730CC1">
        <w:rPr>
          <w:rFonts w:cs="Arial"/>
          <w:sz w:val="22"/>
        </w:rPr>
        <w:t xml:space="preserve"> turi būti įvertintos</w:t>
      </w:r>
      <w:r w:rsidR="00EC7D5C" w:rsidRPr="00730CC1">
        <w:rPr>
          <w:rFonts w:cs="Arial"/>
          <w:sz w:val="22"/>
        </w:rPr>
        <w:t xml:space="preserve"> papildomos tokios veiklos vykdymo ir administravimo sąnaudos, teksiančios projekto vykdytojui ir partnerių organizacijoms.</w:t>
      </w:r>
      <w:r w:rsidR="00CE01B9" w:rsidRPr="00730CC1">
        <w:rPr>
          <w:rFonts w:cs="Arial"/>
          <w:sz w:val="22"/>
        </w:rPr>
        <w:t xml:space="preserve"> </w:t>
      </w:r>
      <w:r w:rsidR="00CE01B9" w:rsidRPr="00EE6EE6">
        <w:rPr>
          <w:rFonts w:cs="Arial"/>
          <w:sz w:val="22"/>
        </w:rPr>
        <w:t>Tam, kad būtų</w:t>
      </w:r>
      <w:r w:rsidR="00660DF6" w:rsidRPr="00EE6EE6">
        <w:rPr>
          <w:rFonts w:cs="Arial"/>
          <w:sz w:val="22"/>
        </w:rPr>
        <w:t xml:space="preserve"> laikomasi sanitarijos taisyklių ir</w:t>
      </w:r>
      <w:r w:rsidR="00CE01B9" w:rsidRPr="00EE6EE6">
        <w:rPr>
          <w:rFonts w:cs="Arial"/>
          <w:sz w:val="22"/>
        </w:rPr>
        <w:t xml:space="preserve"> </w:t>
      </w:r>
      <w:r w:rsidR="00660DF6" w:rsidRPr="00EE6EE6">
        <w:rPr>
          <w:rFonts w:cs="Arial"/>
          <w:sz w:val="22"/>
        </w:rPr>
        <w:t>išvengta</w:t>
      </w:r>
      <w:r w:rsidR="00CE01B9" w:rsidRPr="00EE6EE6">
        <w:rPr>
          <w:rFonts w:cs="Arial"/>
          <w:sz w:val="22"/>
        </w:rPr>
        <w:t xml:space="preserve"> kryžminės taršos</w:t>
      </w:r>
      <w:r w:rsidR="009950D6" w:rsidRPr="00EE6EE6">
        <w:rPr>
          <w:rFonts w:cs="Arial"/>
          <w:sz w:val="22"/>
        </w:rPr>
        <w:t>,</w:t>
      </w:r>
      <w:r w:rsidR="00CE01B9" w:rsidRPr="00EE6EE6">
        <w:rPr>
          <w:rFonts w:cs="Arial"/>
          <w:sz w:val="22"/>
        </w:rPr>
        <w:t xml:space="preserve"> </w:t>
      </w:r>
      <w:r w:rsidR="00660DF6" w:rsidRPr="00EE6EE6">
        <w:rPr>
          <w:rFonts w:cs="Arial"/>
          <w:sz w:val="22"/>
        </w:rPr>
        <w:t>t</w:t>
      </w:r>
      <w:r w:rsidR="00CE01B9" w:rsidRPr="00EE6EE6">
        <w:rPr>
          <w:rFonts w:cs="Arial"/>
          <w:sz w:val="22"/>
        </w:rPr>
        <w:t>okios pagrindinio vartojimo prekės</w:t>
      </w:r>
      <w:r w:rsidR="00660DF6" w:rsidRPr="00EE6EE6">
        <w:rPr>
          <w:rFonts w:cs="Arial"/>
          <w:sz w:val="22"/>
        </w:rPr>
        <w:t xml:space="preserve"> kaip higienos priemonės turėtų būti transportuojamos ir sandėliuojamos atskirai nuo maisto produ</w:t>
      </w:r>
      <w:r w:rsidR="00085DAE" w:rsidRPr="00EE6EE6">
        <w:rPr>
          <w:rFonts w:cs="Arial"/>
          <w:sz w:val="22"/>
        </w:rPr>
        <w:t>ktų, todėl išaug</w:t>
      </w:r>
      <w:r w:rsidR="00C234B2">
        <w:rPr>
          <w:rFonts w:cs="Arial"/>
          <w:sz w:val="22"/>
        </w:rPr>
        <w:t>tų</w:t>
      </w:r>
      <w:r w:rsidR="00085DAE" w:rsidRPr="00EE6EE6">
        <w:rPr>
          <w:rFonts w:cs="Arial"/>
          <w:sz w:val="22"/>
        </w:rPr>
        <w:t xml:space="preserve"> Fondo paramos administravimo sąnaudos.</w:t>
      </w:r>
      <w:r w:rsidR="00085DAE" w:rsidRPr="00730CC1">
        <w:rPr>
          <w:rFonts w:cs="Arial"/>
          <w:sz w:val="22"/>
        </w:rPr>
        <w:t xml:space="preserve"> Be to, veiksmų programos projekte planuojama, kad parama higienos priemonėmis bus teikiama nepriklausomai nuo individualių gyventojų poreikių, tačiau trūksta informacijos apie </w:t>
      </w:r>
      <w:r w:rsidR="006F0645" w:rsidRPr="00730CC1">
        <w:rPr>
          <w:rFonts w:cs="Arial"/>
          <w:sz w:val="22"/>
        </w:rPr>
        <w:t xml:space="preserve">tikslinę grupę, </w:t>
      </w:r>
      <w:r w:rsidR="00085DAE" w:rsidRPr="00730CC1">
        <w:rPr>
          <w:rFonts w:cs="Arial"/>
          <w:sz w:val="22"/>
        </w:rPr>
        <w:t>konkre</w:t>
      </w:r>
      <w:r w:rsidR="0007224F" w:rsidRPr="00730CC1">
        <w:rPr>
          <w:rFonts w:cs="Arial"/>
          <w:sz w:val="22"/>
        </w:rPr>
        <w:t>čias prekes (jų rūši</w:t>
      </w:r>
      <w:r w:rsidR="00085DAE" w:rsidRPr="00730CC1">
        <w:rPr>
          <w:rFonts w:cs="Arial"/>
          <w:sz w:val="22"/>
        </w:rPr>
        <w:t>s) ir pagrindimo, kad taip teikiama parama bus naudojama pagal paskirtį.</w:t>
      </w:r>
    </w:p>
    <w:p w14:paraId="3FBFBF6D" w14:textId="77777777" w:rsidR="00085DAE" w:rsidRPr="00730CC1" w:rsidRDefault="00085DAE" w:rsidP="00B7523B">
      <w:pPr>
        <w:jc w:val="both"/>
        <w:rPr>
          <w:rFonts w:cs="Arial"/>
          <w:sz w:val="22"/>
        </w:rPr>
      </w:pPr>
    </w:p>
    <w:tbl>
      <w:tblPr>
        <w:tblStyle w:val="VPVILentele1"/>
        <w:tblW w:w="0" w:type="auto"/>
        <w:tblInd w:w="534" w:type="dxa"/>
        <w:tblLook w:val="04A0" w:firstRow="1" w:lastRow="0" w:firstColumn="1" w:lastColumn="0" w:noHBand="0" w:noVBand="1"/>
      </w:tblPr>
      <w:tblGrid>
        <w:gridCol w:w="9768"/>
      </w:tblGrid>
      <w:tr w:rsidR="00085DAE" w:rsidRPr="00730CC1" w14:paraId="222EE1A7" w14:textId="77777777" w:rsidTr="00440F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68" w:type="dxa"/>
          </w:tcPr>
          <w:p w14:paraId="7A156775" w14:textId="703C2838" w:rsidR="00085DAE" w:rsidRPr="00730CC1" w:rsidRDefault="00085DAE" w:rsidP="001B2584">
            <w:pPr>
              <w:jc w:val="both"/>
              <w:rPr>
                <w:sz w:val="22"/>
              </w:rPr>
            </w:pPr>
            <w:r w:rsidRPr="00730CC1">
              <w:rPr>
                <w:sz w:val="22"/>
              </w:rPr>
              <w:t>Atsižvelgta</w:t>
            </w:r>
            <w:r w:rsidR="009950D6">
              <w:rPr>
                <w:sz w:val="22"/>
              </w:rPr>
              <w:t> </w:t>
            </w:r>
          </w:p>
        </w:tc>
      </w:tr>
      <w:tr w:rsidR="00085DAE" w:rsidRPr="00730CC1" w14:paraId="635FD756" w14:textId="77777777" w:rsidTr="00440F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8" w:type="dxa"/>
          </w:tcPr>
          <w:p w14:paraId="7B937797" w14:textId="1B37FD47" w:rsidR="00085DAE" w:rsidRPr="00730CC1" w:rsidRDefault="00396D8A">
            <w:pPr>
              <w:jc w:val="both"/>
              <w:rPr>
                <w:sz w:val="22"/>
              </w:rPr>
            </w:pPr>
            <w:r w:rsidRPr="00730CC1">
              <w:rPr>
                <w:b/>
                <w:sz w:val="22"/>
              </w:rPr>
              <w:t>2 rekomendacija.</w:t>
            </w:r>
            <w:r w:rsidRPr="00730CC1">
              <w:rPr>
                <w:sz w:val="22"/>
              </w:rPr>
              <w:t xml:space="preserve"> </w:t>
            </w:r>
            <w:r w:rsidR="00085DAE" w:rsidRPr="00730CC1">
              <w:rPr>
                <w:sz w:val="22"/>
              </w:rPr>
              <w:t>Veiksmų programos projektą papild</w:t>
            </w:r>
            <w:r w:rsidR="0007224F" w:rsidRPr="00730CC1">
              <w:rPr>
                <w:sz w:val="22"/>
              </w:rPr>
              <w:t>yti informaciją apie Fondo lėšomis planuojamą teikti paramą pagrindinio vartojimo prekėmis (higienos priemonėmis)</w:t>
            </w:r>
            <w:r w:rsidR="00085DAE" w:rsidRPr="00730CC1">
              <w:rPr>
                <w:sz w:val="22"/>
              </w:rPr>
              <w:t xml:space="preserve"> </w:t>
            </w:r>
            <w:r w:rsidR="0007224F" w:rsidRPr="00730CC1">
              <w:rPr>
                <w:sz w:val="22"/>
              </w:rPr>
              <w:t xml:space="preserve">ir tinkamai pagrįsti pasirinktą paramos paskirstymo mechanizmą, </w:t>
            </w:r>
            <w:r w:rsidR="0007224F" w:rsidRPr="00EE6EE6">
              <w:rPr>
                <w:sz w:val="22"/>
              </w:rPr>
              <w:t xml:space="preserve">kuris nėra </w:t>
            </w:r>
            <w:r w:rsidR="00EE6EE6">
              <w:rPr>
                <w:sz w:val="22"/>
              </w:rPr>
              <w:t>skirtas</w:t>
            </w:r>
            <w:r w:rsidR="0007224F" w:rsidRPr="00EE6EE6">
              <w:rPr>
                <w:sz w:val="22"/>
              </w:rPr>
              <w:t xml:space="preserve"> paramos gavėjų individual</w:t>
            </w:r>
            <w:r w:rsidR="00EE6EE6">
              <w:rPr>
                <w:sz w:val="22"/>
              </w:rPr>
              <w:t>iems</w:t>
            </w:r>
            <w:r w:rsidR="0007224F" w:rsidRPr="00EE6EE6">
              <w:rPr>
                <w:sz w:val="22"/>
              </w:rPr>
              <w:t xml:space="preserve"> poreiki</w:t>
            </w:r>
            <w:r w:rsidR="00EE6EE6">
              <w:rPr>
                <w:sz w:val="22"/>
              </w:rPr>
              <w:t>ams</w:t>
            </w:r>
            <w:r w:rsidR="0007224F" w:rsidRPr="00EE6EE6">
              <w:rPr>
                <w:sz w:val="22"/>
              </w:rPr>
              <w:t xml:space="preserve"> tenkin</w:t>
            </w:r>
            <w:r w:rsidR="00EE6EE6">
              <w:rPr>
                <w:sz w:val="22"/>
              </w:rPr>
              <w:t>ti</w:t>
            </w:r>
            <w:r w:rsidR="0007224F" w:rsidRPr="00EE6EE6">
              <w:rPr>
                <w:sz w:val="22"/>
              </w:rPr>
              <w:t>.</w:t>
            </w:r>
            <w:r w:rsidR="00B460A7" w:rsidRPr="00730CC1">
              <w:rPr>
                <w:sz w:val="22"/>
              </w:rPr>
              <w:t xml:space="preserve"> </w:t>
            </w:r>
          </w:p>
        </w:tc>
      </w:tr>
    </w:tbl>
    <w:p w14:paraId="48B8D104" w14:textId="77777777" w:rsidR="00596FDB" w:rsidRPr="00730CC1" w:rsidRDefault="00596FDB" w:rsidP="006C1FA9">
      <w:pPr>
        <w:pStyle w:val="Default"/>
        <w:jc w:val="both"/>
        <w:rPr>
          <w:rFonts w:asciiTheme="majorHAnsi" w:hAnsiTheme="majorHAnsi"/>
        </w:rPr>
      </w:pPr>
    </w:p>
    <w:p w14:paraId="33B50235" w14:textId="47445EE1" w:rsidR="006C1FA9" w:rsidRPr="00730CC1" w:rsidRDefault="00637789" w:rsidP="00440F15">
      <w:pPr>
        <w:spacing w:after="240"/>
        <w:ind w:left="363"/>
        <w:jc w:val="both"/>
        <w:rPr>
          <w:sz w:val="22"/>
        </w:rPr>
      </w:pPr>
      <w:r w:rsidRPr="00730CC1">
        <w:rPr>
          <w:sz w:val="22"/>
        </w:rPr>
        <w:t>VP projekte nurodoma</w:t>
      </w:r>
      <w:r w:rsidR="006C1FA9" w:rsidRPr="00730CC1">
        <w:rPr>
          <w:sz w:val="22"/>
        </w:rPr>
        <w:t>, kad papildomas veiklas (pvz.</w:t>
      </w:r>
      <w:r w:rsidR="00547417">
        <w:rPr>
          <w:sz w:val="22"/>
        </w:rPr>
        <w:t>,</w:t>
      </w:r>
      <w:r w:rsidR="006C1FA9" w:rsidRPr="00730CC1">
        <w:rPr>
          <w:sz w:val="22"/>
        </w:rPr>
        <w:t xml:space="preserve"> </w:t>
      </w:r>
      <w:r w:rsidRPr="00730CC1">
        <w:rPr>
          <w:sz w:val="22"/>
        </w:rPr>
        <w:t xml:space="preserve">įvairias </w:t>
      </w:r>
      <w:r w:rsidR="006C1FA9" w:rsidRPr="00730CC1">
        <w:rPr>
          <w:sz w:val="22"/>
        </w:rPr>
        <w:t>konsultacijas) partnerės organizacijos įgyve</w:t>
      </w:r>
      <w:r w:rsidR="00533521" w:rsidRPr="00730CC1">
        <w:rPr>
          <w:sz w:val="22"/>
        </w:rPr>
        <w:t xml:space="preserve">ndins ne Fondo lėšomis, tačiau </w:t>
      </w:r>
      <w:r w:rsidR="00B64D8D" w:rsidRPr="00730CC1">
        <w:rPr>
          <w:sz w:val="22"/>
        </w:rPr>
        <w:t xml:space="preserve">papildomų veiklų vykdymas partnerėms organizacijoms nėra privalomas. </w:t>
      </w:r>
      <w:r w:rsidRPr="00730CC1">
        <w:rPr>
          <w:sz w:val="22"/>
        </w:rPr>
        <w:t xml:space="preserve"> </w:t>
      </w:r>
      <w:r w:rsidR="00B64D8D" w:rsidRPr="00EE6EE6">
        <w:rPr>
          <w:sz w:val="22"/>
        </w:rPr>
        <w:t xml:space="preserve">Tad konsultacijos ir kitokia pagalba paramos gavėjams, </w:t>
      </w:r>
      <w:r w:rsidR="005D4514" w:rsidRPr="00EE6EE6">
        <w:rPr>
          <w:sz w:val="22"/>
        </w:rPr>
        <w:t xml:space="preserve">kuri galėtų </w:t>
      </w:r>
      <w:r w:rsidR="000B5E67" w:rsidRPr="00EE6EE6">
        <w:rPr>
          <w:sz w:val="22"/>
        </w:rPr>
        <w:t>prisidėti</w:t>
      </w:r>
      <w:r w:rsidR="005D4514" w:rsidRPr="00EE6EE6">
        <w:rPr>
          <w:sz w:val="22"/>
        </w:rPr>
        <w:t xml:space="preserve"> sprendžiant skurdą sukeliančias priežastis ir įtraukiant tikslinės grupės atstovus į </w:t>
      </w:r>
      <w:r w:rsidR="005E6D59" w:rsidRPr="00EE6EE6">
        <w:rPr>
          <w:sz w:val="22"/>
        </w:rPr>
        <w:t>iš kitų šaltinių finansuojamos užimtumo ir socialinės įtraukties skatinimo</w:t>
      </w:r>
      <w:r w:rsidR="00C234B2">
        <w:rPr>
          <w:sz w:val="22"/>
        </w:rPr>
        <w:t xml:space="preserve"> veiksmus</w:t>
      </w:r>
      <w:r w:rsidR="005E6D59" w:rsidRPr="00EE6EE6">
        <w:rPr>
          <w:sz w:val="22"/>
        </w:rPr>
        <w:t>, priklausys nuo partnerių organizacijų  iniciatyvos ir pajėgumų</w:t>
      </w:r>
      <w:r w:rsidR="003E6927" w:rsidRPr="00EE6EE6">
        <w:rPr>
          <w:sz w:val="22"/>
        </w:rPr>
        <w:t xml:space="preserve"> (žmogiškųjų ir finansinių)</w:t>
      </w:r>
      <w:r w:rsidR="005E6D59" w:rsidRPr="00EE6EE6">
        <w:rPr>
          <w:sz w:val="22"/>
        </w:rPr>
        <w:t xml:space="preserve"> vykdyti tokią veiklą.</w:t>
      </w:r>
      <w:r w:rsidR="005E6D59" w:rsidRPr="00730CC1">
        <w:rPr>
          <w:sz w:val="22"/>
        </w:rPr>
        <w:t xml:space="preserve"> </w:t>
      </w:r>
      <w:r w:rsidR="00533521" w:rsidRPr="00EE6EE6">
        <w:rPr>
          <w:sz w:val="22"/>
        </w:rPr>
        <w:t xml:space="preserve">Šiuo metu ne visos organizacijos, dalyvaujančios </w:t>
      </w:r>
      <w:r w:rsidR="00EE6EE6">
        <w:rPr>
          <w:sz w:val="22"/>
        </w:rPr>
        <w:t xml:space="preserve">teikiant </w:t>
      </w:r>
      <w:r w:rsidR="00533521" w:rsidRPr="00EE6EE6">
        <w:rPr>
          <w:sz w:val="22"/>
        </w:rPr>
        <w:t>param</w:t>
      </w:r>
      <w:r w:rsidR="00EE6EE6">
        <w:rPr>
          <w:sz w:val="22"/>
        </w:rPr>
        <w:t>ą</w:t>
      </w:r>
      <w:r w:rsidR="00533521" w:rsidRPr="00EE6EE6">
        <w:rPr>
          <w:sz w:val="22"/>
        </w:rPr>
        <w:t xml:space="preserve"> maisto produktais</w:t>
      </w:r>
      <w:r w:rsidR="002327E6" w:rsidRPr="00EE6EE6">
        <w:rPr>
          <w:sz w:val="22"/>
        </w:rPr>
        <w:t>,</w:t>
      </w:r>
      <w:r w:rsidR="002327E6" w:rsidRPr="00730CC1">
        <w:rPr>
          <w:sz w:val="22"/>
        </w:rPr>
        <w:t xml:space="preserve"> paramos gavėjams planuoja teikti ir konsultacijas be</w:t>
      </w:r>
      <w:r w:rsidR="000358AC" w:rsidRPr="00730CC1">
        <w:rPr>
          <w:sz w:val="22"/>
        </w:rPr>
        <w:t>i</w:t>
      </w:r>
      <w:r w:rsidR="002327E6" w:rsidRPr="00730CC1">
        <w:rPr>
          <w:sz w:val="22"/>
        </w:rPr>
        <w:t xml:space="preserve"> kitokią </w:t>
      </w:r>
      <w:r w:rsidR="000358AC" w:rsidRPr="00730CC1">
        <w:rPr>
          <w:sz w:val="22"/>
        </w:rPr>
        <w:t>pagalbą</w:t>
      </w:r>
      <w:r w:rsidR="009D4A92" w:rsidRPr="00730CC1">
        <w:rPr>
          <w:rStyle w:val="FootnoteReference"/>
          <w:sz w:val="22"/>
        </w:rPr>
        <w:footnoteReference w:id="17"/>
      </w:r>
      <w:r w:rsidR="000358AC" w:rsidRPr="00730CC1">
        <w:rPr>
          <w:sz w:val="22"/>
        </w:rPr>
        <w:t xml:space="preserve">, taigi Fondo remiamų veiklų indėlis </w:t>
      </w:r>
      <w:r w:rsidR="009950D6">
        <w:rPr>
          <w:sz w:val="22"/>
        </w:rPr>
        <w:t>siekiant</w:t>
      </w:r>
      <w:r w:rsidR="009950D6" w:rsidRPr="00730CC1">
        <w:rPr>
          <w:sz w:val="22"/>
        </w:rPr>
        <w:t xml:space="preserve"> </w:t>
      </w:r>
      <w:r w:rsidR="000358AC" w:rsidRPr="00730CC1">
        <w:rPr>
          <w:sz w:val="22"/>
        </w:rPr>
        <w:t xml:space="preserve">pagrindinio strateginio tikslo </w:t>
      </w:r>
      <w:r w:rsidR="009D4A92" w:rsidRPr="00730CC1">
        <w:rPr>
          <w:sz w:val="22"/>
        </w:rPr>
        <w:t xml:space="preserve">gali būti mažesnis. Kita vertus, sprendimas Fondo lėšas </w:t>
      </w:r>
      <w:r w:rsidR="00C234B2">
        <w:rPr>
          <w:sz w:val="22"/>
        </w:rPr>
        <w:t xml:space="preserve">skirti </w:t>
      </w:r>
      <w:r w:rsidR="009D4A92" w:rsidRPr="00730CC1">
        <w:rPr>
          <w:sz w:val="22"/>
        </w:rPr>
        <w:t>param</w:t>
      </w:r>
      <w:r w:rsidR="00C234B2">
        <w:rPr>
          <w:sz w:val="22"/>
        </w:rPr>
        <w:t>ai</w:t>
      </w:r>
      <w:r w:rsidR="009D4A92" w:rsidRPr="00730CC1">
        <w:rPr>
          <w:sz w:val="22"/>
        </w:rPr>
        <w:t xml:space="preserve"> maisto pro</w:t>
      </w:r>
      <w:r w:rsidR="00275E62" w:rsidRPr="00730CC1">
        <w:rPr>
          <w:sz w:val="22"/>
        </w:rPr>
        <w:t>duktais ir higienos priemonėmis</w:t>
      </w:r>
      <w:r w:rsidR="009D4A92" w:rsidRPr="00730CC1">
        <w:rPr>
          <w:sz w:val="22"/>
        </w:rPr>
        <w:t xml:space="preserve"> grindžiamas tuo, kad įvairios konsultacijos ir kitos įtraukties skatinimo veiklos galės būti finansuojamos kitų nacionalinių ir ES programų </w:t>
      </w:r>
      <w:r w:rsidR="00106199">
        <w:rPr>
          <w:sz w:val="22"/>
        </w:rPr>
        <w:t>bei</w:t>
      </w:r>
      <w:r w:rsidR="009D4A92" w:rsidRPr="00730CC1">
        <w:rPr>
          <w:sz w:val="22"/>
        </w:rPr>
        <w:t xml:space="preserve"> projektų lėšomis.</w:t>
      </w:r>
    </w:p>
    <w:tbl>
      <w:tblPr>
        <w:tblStyle w:val="VPVILentele1"/>
        <w:tblW w:w="0" w:type="auto"/>
        <w:tblInd w:w="534" w:type="dxa"/>
        <w:tblLook w:val="04A0" w:firstRow="1" w:lastRow="0" w:firstColumn="1" w:lastColumn="0" w:noHBand="0" w:noVBand="1"/>
      </w:tblPr>
      <w:tblGrid>
        <w:gridCol w:w="9768"/>
      </w:tblGrid>
      <w:tr w:rsidR="00404525" w:rsidRPr="00730CC1" w14:paraId="3EDF1AFC" w14:textId="77777777" w:rsidTr="00440F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68" w:type="dxa"/>
          </w:tcPr>
          <w:p w14:paraId="3A9D47FA" w14:textId="5DCD8F0E" w:rsidR="00404525" w:rsidRPr="00730CC1" w:rsidRDefault="00404525" w:rsidP="001B2584">
            <w:pPr>
              <w:jc w:val="both"/>
              <w:rPr>
                <w:sz w:val="22"/>
              </w:rPr>
            </w:pPr>
            <w:r w:rsidRPr="00730CC1">
              <w:rPr>
                <w:sz w:val="22"/>
              </w:rPr>
              <w:t>Atsižvelgta</w:t>
            </w:r>
            <w:r w:rsidR="009950D6">
              <w:rPr>
                <w:sz w:val="22"/>
              </w:rPr>
              <w:t> </w:t>
            </w:r>
          </w:p>
        </w:tc>
      </w:tr>
      <w:tr w:rsidR="00404525" w:rsidRPr="00730CC1" w14:paraId="7A0A508C" w14:textId="77777777" w:rsidTr="00440F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8" w:type="dxa"/>
          </w:tcPr>
          <w:p w14:paraId="101B153C" w14:textId="78233679" w:rsidR="00404525" w:rsidRPr="00730CC1" w:rsidRDefault="00396D8A" w:rsidP="004E207C">
            <w:pPr>
              <w:jc w:val="both"/>
              <w:rPr>
                <w:sz w:val="22"/>
              </w:rPr>
            </w:pPr>
            <w:r w:rsidRPr="00730CC1">
              <w:rPr>
                <w:b/>
                <w:sz w:val="22"/>
              </w:rPr>
              <w:t>3 rekomendacija.</w:t>
            </w:r>
            <w:r w:rsidRPr="00730CC1">
              <w:rPr>
                <w:sz w:val="22"/>
              </w:rPr>
              <w:t xml:space="preserve"> </w:t>
            </w:r>
            <w:r w:rsidR="00C66682" w:rsidRPr="00730CC1">
              <w:rPr>
                <w:sz w:val="22"/>
              </w:rPr>
              <w:t xml:space="preserve">Veiksmų programos projekte nurodyti, kaip bus užtikrinamas </w:t>
            </w:r>
            <w:r w:rsidR="004E207C" w:rsidRPr="00730CC1">
              <w:rPr>
                <w:sz w:val="22"/>
              </w:rPr>
              <w:t xml:space="preserve">Fondo </w:t>
            </w:r>
            <w:r w:rsidR="00C66682" w:rsidRPr="00730CC1">
              <w:rPr>
                <w:sz w:val="22"/>
              </w:rPr>
              <w:t xml:space="preserve">tikslinės grupės atstovams </w:t>
            </w:r>
            <w:r w:rsidR="004E207C" w:rsidRPr="00730CC1">
              <w:rPr>
                <w:sz w:val="22"/>
              </w:rPr>
              <w:t xml:space="preserve">skirtų </w:t>
            </w:r>
            <w:r w:rsidR="00C66682" w:rsidRPr="00730CC1">
              <w:rPr>
                <w:sz w:val="22"/>
              </w:rPr>
              <w:t>papildomų veiklų (pvz.</w:t>
            </w:r>
            <w:r w:rsidR="009950D6">
              <w:rPr>
                <w:sz w:val="22"/>
              </w:rPr>
              <w:t>,</w:t>
            </w:r>
            <w:r w:rsidR="00C66682" w:rsidRPr="00730CC1">
              <w:rPr>
                <w:sz w:val="22"/>
              </w:rPr>
              <w:t xml:space="preserve"> konsultacijų, kitokios pagalbos) </w:t>
            </w:r>
            <w:r w:rsidR="004E207C" w:rsidRPr="00730CC1">
              <w:rPr>
                <w:sz w:val="22"/>
              </w:rPr>
              <w:t>organizavimas ir tinkamai pagrįsti sprendimą nefinansuoti tokių papildomų veiklų Fondo veiksmų programos lėšomis.</w:t>
            </w:r>
          </w:p>
        </w:tc>
      </w:tr>
    </w:tbl>
    <w:p w14:paraId="4672BBD9" w14:textId="77777777" w:rsidR="00404525" w:rsidRPr="00730CC1" w:rsidRDefault="00404525" w:rsidP="00603F66">
      <w:pPr>
        <w:jc w:val="both"/>
        <w:rPr>
          <w:sz w:val="22"/>
        </w:rPr>
      </w:pPr>
    </w:p>
    <w:p w14:paraId="3BA05A08" w14:textId="383ABF88" w:rsidR="006E474D" w:rsidRPr="00730CC1" w:rsidRDefault="00DD5AB3" w:rsidP="00440F15">
      <w:pPr>
        <w:ind w:left="363"/>
        <w:jc w:val="both"/>
        <w:rPr>
          <w:sz w:val="22"/>
        </w:rPr>
      </w:pPr>
      <w:r w:rsidRPr="00730CC1">
        <w:rPr>
          <w:sz w:val="22"/>
        </w:rPr>
        <w:t xml:space="preserve">Apibendrinant atliktą analizę, galima daryti išvadą, kad VP projekte aprašytos materialinio nepritekliaus rūšys iš esmės atitinka esamą situaciją ir Fondo remiamų intervencijų sritis. </w:t>
      </w:r>
      <w:r w:rsidR="0085474D" w:rsidRPr="00262904">
        <w:rPr>
          <w:sz w:val="22"/>
        </w:rPr>
        <w:t>Tačiau</w:t>
      </w:r>
      <w:r w:rsidR="00275613" w:rsidRPr="00262904">
        <w:rPr>
          <w:sz w:val="22"/>
        </w:rPr>
        <w:t>, atsižvelgiant į planuojamą taikyti unifikuotų paramos paketų teikimo modelį,</w:t>
      </w:r>
      <w:r w:rsidR="0085474D" w:rsidRPr="00262904">
        <w:rPr>
          <w:sz w:val="22"/>
        </w:rPr>
        <w:t xml:space="preserve"> </w:t>
      </w:r>
      <w:r w:rsidR="00275613" w:rsidRPr="00262904">
        <w:rPr>
          <w:sz w:val="22"/>
        </w:rPr>
        <w:t xml:space="preserve">turi būti pateikta papildoma informacija ir </w:t>
      </w:r>
      <w:r w:rsidR="0085474D" w:rsidRPr="00262904">
        <w:rPr>
          <w:sz w:val="22"/>
        </w:rPr>
        <w:t xml:space="preserve">pagrindimas materialinei pagalbai </w:t>
      </w:r>
      <w:r w:rsidR="00275613" w:rsidRPr="00262904">
        <w:rPr>
          <w:sz w:val="22"/>
        </w:rPr>
        <w:t>higienos reikmenimis teikti, nes neindividualizuota parama pagrindinio vartojimo prekėmis didina netikslingo jos panaudojimo riziką.</w:t>
      </w:r>
      <w:r w:rsidR="00275613" w:rsidRPr="00730CC1">
        <w:rPr>
          <w:sz w:val="22"/>
        </w:rPr>
        <w:t xml:space="preserve"> </w:t>
      </w:r>
      <w:r w:rsidR="005B6F7F" w:rsidRPr="00730CC1">
        <w:rPr>
          <w:sz w:val="22"/>
        </w:rPr>
        <w:t>Veiksmų programos projekte yra nustatyta, kad</w:t>
      </w:r>
      <w:r w:rsidR="00262904">
        <w:rPr>
          <w:sz w:val="22"/>
        </w:rPr>
        <w:t>,</w:t>
      </w:r>
      <w:r w:rsidR="005B6F7F" w:rsidRPr="00730CC1">
        <w:rPr>
          <w:sz w:val="22"/>
        </w:rPr>
        <w:t xml:space="preserve"> teikiant paramą maisto produktais ir pagrindinio vartojimo prekėmis labiausiai skurstantiems asmenims </w:t>
      </w:r>
      <w:r w:rsidR="002D109F">
        <w:rPr>
          <w:sz w:val="22"/>
        </w:rPr>
        <w:t>iš Fondo lėšų</w:t>
      </w:r>
      <w:r w:rsidR="00262904">
        <w:rPr>
          <w:sz w:val="22"/>
        </w:rPr>
        <w:t>,</w:t>
      </w:r>
      <w:r w:rsidR="002D109F">
        <w:rPr>
          <w:sz w:val="22"/>
        </w:rPr>
        <w:t xml:space="preserve"> </w:t>
      </w:r>
      <w:r w:rsidR="005B6F7F" w:rsidRPr="00730CC1">
        <w:rPr>
          <w:sz w:val="22"/>
        </w:rPr>
        <w:t xml:space="preserve">bus siekiama palengvinti didelį materialinį nepriteklių patiriančių žmonių  situaciją, taip prisidedant prie strateginio tikslo mažinti skurdą ir socialinę atskirtį. Tačiau </w:t>
      </w:r>
      <w:r w:rsidR="00603F66" w:rsidRPr="00730CC1">
        <w:rPr>
          <w:sz w:val="22"/>
        </w:rPr>
        <w:t>turėtų būti išsamiau paaiškintos Fondo remiamų veiklų ir iš kitų šaltinių finansuojamų intervencijų, nukreiptų į skurdo ir socialinės atskirties mažinimą, sąsajos.</w:t>
      </w:r>
    </w:p>
    <w:p w14:paraId="11AAB515" w14:textId="77777777" w:rsidR="006E474D" w:rsidRPr="00730CC1" w:rsidRDefault="006E474D" w:rsidP="006E474D">
      <w:pPr>
        <w:pStyle w:val="Default"/>
        <w:jc w:val="both"/>
        <w:rPr>
          <w:rFonts w:asciiTheme="majorHAnsi" w:hAnsiTheme="majorHAnsi"/>
        </w:rPr>
      </w:pPr>
    </w:p>
    <w:p w14:paraId="7C968CC0" w14:textId="64B41C69" w:rsidR="00AF1C3D" w:rsidRPr="00730CC1" w:rsidRDefault="00AF1C3D" w:rsidP="00767E0C">
      <w:pPr>
        <w:pStyle w:val="Default"/>
        <w:numPr>
          <w:ilvl w:val="0"/>
          <w:numId w:val="21"/>
        </w:numPr>
        <w:jc w:val="both"/>
        <w:rPr>
          <w:rFonts w:asciiTheme="majorHAnsi" w:hAnsiTheme="majorHAnsi"/>
          <w:color w:val="036575" w:themeColor="accent5" w:themeTint="E6"/>
        </w:rPr>
      </w:pPr>
      <w:r w:rsidRPr="00730CC1">
        <w:rPr>
          <w:rFonts w:asciiTheme="majorHAnsi" w:hAnsiTheme="majorHAnsi"/>
          <w:color w:val="036575" w:themeColor="accent5" w:themeTint="E6"/>
        </w:rPr>
        <w:t>Ar pasirinkta ta tikslinė grupė, kuri atitinka Fondo finansavimo reikalavimus? Ar parinktos pagalbos priemonės yra tinkamiausios konkrečiai tikslinei grupei? Ar aišku, kokie vidiniai ir išoriniai veiksniai ir kaip lems planuojamos pagalbos efektyvumą ir rezultatų pasiekimą?</w:t>
      </w:r>
    </w:p>
    <w:p w14:paraId="7EF86909" w14:textId="77777777" w:rsidR="00AF1C3D" w:rsidRPr="00730CC1" w:rsidRDefault="00AF1C3D" w:rsidP="00603F66">
      <w:pPr>
        <w:pStyle w:val="Text"/>
        <w:spacing w:after="0"/>
        <w:ind w:left="0"/>
      </w:pPr>
    </w:p>
    <w:p w14:paraId="1CD537A6" w14:textId="505CDED8" w:rsidR="00603F66" w:rsidRPr="00730CC1" w:rsidRDefault="00B82F15" w:rsidP="00440F15">
      <w:pPr>
        <w:pStyle w:val="Text"/>
        <w:spacing w:after="0"/>
        <w:ind w:left="363"/>
        <w:rPr>
          <w:sz w:val="22"/>
        </w:rPr>
      </w:pPr>
      <w:r w:rsidRPr="00730CC1">
        <w:rPr>
          <w:sz w:val="22"/>
        </w:rPr>
        <w:t xml:space="preserve">Tikslinių grupių, kurioms bus taikomos pagalbos priemonės, nustatymą </w:t>
      </w:r>
      <w:r w:rsidR="00603F66" w:rsidRPr="00730CC1">
        <w:rPr>
          <w:sz w:val="22"/>
        </w:rPr>
        <w:t xml:space="preserve">Fondo reglamentas </w:t>
      </w:r>
      <w:r w:rsidR="008F3E12" w:rsidRPr="00730CC1">
        <w:rPr>
          <w:sz w:val="22"/>
        </w:rPr>
        <w:t>paliek</w:t>
      </w:r>
      <w:r w:rsidRPr="00730CC1">
        <w:rPr>
          <w:sz w:val="22"/>
        </w:rPr>
        <w:t>a valstybės narės kompetencijai: VP projekte turi būti aprašytas mechanizmas, kaip</w:t>
      </w:r>
      <w:r w:rsidR="002D109F">
        <w:rPr>
          <w:sz w:val="22"/>
        </w:rPr>
        <w:t xml:space="preserve"> </w:t>
      </w:r>
      <w:r w:rsidRPr="00730CC1">
        <w:rPr>
          <w:sz w:val="22"/>
        </w:rPr>
        <w:t>bus nustatomi objektyvūs tinkamumo pagalbai gauti kriterijai kartu nurodant ir materialinio nepritekliaus rūšį.</w:t>
      </w:r>
    </w:p>
    <w:p w14:paraId="4FB70E53" w14:textId="6D55761E" w:rsidR="00212F1C" w:rsidRPr="00730CC1" w:rsidRDefault="008F3E12" w:rsidP="00212F1C">
      <w:pPr>
        <w:pStyle w:val="Text"/>
        <w:ind w:left="0"/>
      </w:pPr>
      <w:r w:rsidRPr="00730CC1">
        <w:rPr>
          <w:sz w:val="22"/>
        </w:rPr>
        <mc:AlternateContent>
          <mc:Choice Requires="wps">
            <w:drawing>
              <wp:anchor distT="0" distB="0" distL="114300" distR="114300" simplePos="0" relativeHeight="251993088" behindDoc="0" locked="0" layoutInCell="1" allowOverlap="1" wp14:anchorId="29BA9C61" wp14:editId="01C8939A">
                <wp:simplePos x="0" y="0"/>
                <wp:positionH relativeFrom="column">
                  <wp:posOffset>182880</wp:posOffset>
                </wp:positionH>
                <wp:positionV relativeFrom="paragraph">
                  <wp:posOffset>56515</wp:posOffset>
                </wp:positionV>
                <wp:extent cx="6324600" cy="1200150"/>
                <wp:effectExtent l="0" t="0" r="38100" b="571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200150"/>
                        </a:xfrm>
                        <a:prstGeom prst="rect">
                          <a:avLst/>
                        </a:prstGeom>
                        <a:solidFill>
                          <a:srgbClr val="F6E2A3"/>
                        </a:solidFill>
                        <a:ln w="12700">
                          <a:solidFill>
                            <a:srgbClr val="FABF8F"/>
                          </a:solidFill>
                          <a:miter lim="800000"/>
                          <a:headEnd/>
                          <a:tailEnd/>
                        </a:ln>
                        <a:effectLst>
                          <a:outerShdw dist="28398" dir="3806097" algn="ctr" rotWithShape="0">
                            <a:srgbClr val="974706">
                              <a:alpha val="50000"/>
                            </a:srgbClr>
                          </a:outerShdw>
                        </a:effectLst>
                      </wps:spPr>
                      <wps:txbx>
                        <w:txbxContent>
                          <w:p w14:paraId="770E0795" w14:textId="77777777" w:rsidR="00066407" w:rsidRPr="005748DC" w:rsidRDefault="00066407" w:rsidP="008F3E12">
                            <w:pPr>
                              <w:jc w:val="both"/>
                              <w:rPr>
                                <w:sz w:val="22"/>
                              </w:rPr>
                            </w:pPr>
                            <w:r w:rsidRPr="005748DC">
                              <w:rPr>
                                <w:rFonts w:cs="EUAlbertina"/>
                                <w:color w:val="000000"/>
                                <w:sz w:val="22"/>
                              </w:rPr>
                              <w:t>Labiausiai skurstantys asmenys – fiziniai asmenys, atskiri asmenys, šeimos, namų ūkiai ar tokių asmenų grupės, kurie pagal nacionalinių kompetentingų institucijų nustatytus (konsultuojantis su atitinkamais suinteresuotaisiais subjektais ir vengiant interesų konfliktų) arba organizacijų partnerių apibrėžtus ir nacionalinių kompetentingų institucijų patvirtintus objektyvius kriterijus įvardijami ar pripažįstami remtinais, ir šie kriterijai gali apimti elementus, kurie leidžia nukreipti pagalbą labiausiai skurstantiems asmenims tam tikrose geografinėse vietovėse.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14.4pt;margin-top:4.45pt;width:498pt;height:94.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XkhQIAAAAFAAAOAAAAZHJzL2Uyb0RvYy54bWysVNtu2zAMfR+wfxD0vtpxUicx6hTpJcOA&#10;7gK0w54ZSbaFyZImKXG6rx8lt2nQDRgwzA+GKFJHh+ShLi4PvSJ74bw0uqaTs5wSoZnhUrc1/fqw&#10;ebegxAfQHJTRoqaPwtPL1ds3F4OtRGE6o7hwBEG0rwZb0y4EW2WZZ53owZ8ZKzQ6G+N6CGi6NuMO&#10;BkTvVVbkeZkNxnHrDBPe4+7N6KSrhN80goXPTeNFIKqmyC2kv0v/bfxnqwuoWge2k+yJBvwDix6k&#10;xkuPUDcQgOyc/A2ql8wZb5pwxkyfmaaRTKQcMJtJ/iqb+w6sSLlgcbw9lsn/P1j2af/FEclrWlCi&#10;occWPYhDIFfmQIpYncH6CoPuLYaFA25jl1Om3t4Z9t0Tba470K1YO2eGTgBHdpN4Mjs5OuL4CLId&#10;PhqO18AumAR0aFwfS4fFIIiOXXo8diZSYbhZTotZmaOLoW+CjZ+cp95lUD0ft86H98L0JC5q6rD1&#10;CR72dz5EOlA9h8TbvFGSb6RSyXDt9lo5sgeUyaa8LdbTlMGrMKXJEK+fI5O/YKyvNovNnzB6GVDw&#10;SvY1XeTxi0FQxcLdap7WAaQa18hZ6egWScqYSDTMDiHuOz4QLmOqxWK6xDHjEnU9XeRlvpxTAqrF&#10;gWTBUeJM+CZDl9QUK5uon2a8nM/meTlWS9kOxjqcP7NDFn4MT1U8Xp+sE2ap4bHHY7fDYXtIyipj&#10;ilEMW8MfUQHIJ7UZnw1cdMb9pGTAEayp/7EDJyhRHzSqaDmZzeLMJmN2Pi/QcKee7akHNEOomgbM&#10;PS2vwzjnO+tk2+FNo261WaPyGpk08cLqSa84ZimtpychzvGpnaJeHq7VLwAAAP//AwBQSwMEFAAG&#10;AAgAAAAhACg/AObgAAAACQEAAA8AAABkcnMvZG93bnJldi54bWxMj81OwzAQhO9IvIO1SNyo00Ah&#10;SeNUiF+JA1LbqL068ZJExOsodtvw9mxPcNvZWc18m68m24sjjr5zpGA+i0Ag1c501Cgot683CQgf&#10;NBndO0IFP+hhVVxe5Doz7kRrPG5CIziEfKYVtCEMmZS+btFqP3MDEntfbrQ6sBwbaUZ94nDbyziK&#10;7qXVHXFDqwd8arH+3hysArPdv39+rJ8X824fqt2bLF9uF6VS11fT4xJEwCn8HcMZn9GhYKbKHch4&#10;0SuIEyYPCpIUxNmO4jteVDylDynIIpf/Pyh+AQAA//8DAFBLAQItABQABgAIAAAAIQC2gziS/gAA&#10;AOEBAAATAAAAAAAAAAAAAAAAAAAAAABbQ29udGVudF9UeXBlc10ueG1sUEsBAi0AFAAGAAgAAAAh&#10;ADj9If/WAAAAlAEAAAsAAAAAAAAAAAAAAAAALwEAAF9yZWxzLy5yZWxzUEsBAi0AFAAGAAgAAAAh&#10;ABN01eSFAgAAAAUAAA4AAAAAAAAAAAAAAAAALgIAAGRycy9lMm9Eb2MueG1sUEsBAi0AFAAGAAgA&#10;AAAhACg/AObgAAAACQEAAA8AAAAAAAAAAAAAAAAA3wQAAGRycy9kb3ducmV2LnhtbFBLBQYAAAAA&#10;BAAEAPMAAADsBQAAAAA=&#10;" fillcolor="#f6e2a3" strokecolor="#fabf8f" strokeweight="1pt">
                <v:shadow on="t" color="#974706" opacity=".5" offset="1pt"/>
                <v:textbox>
                  <w:txbxContent>
                    <w:p w14:paraId="770E0795" w14:textId="77777777" w:rsidR="00066407" w:rsidRPr="005748DC" w:rsidRDefault="00066407" w:rsidP="008F3E12">
                      <w:pPr>
                        <w:jc w:val="both"/>
                        <w:rPr>
                          <w:sz w:val="22"/>
                        </w:rPr>
                      </w:pPr>
                      <w:r w:rsidRPr="005748DC">
                        <w:rPr>
                          <w:rFonts w:cs="EUAlbertina"/>
                          <w:color w:val="000000"/>
                          <w:sz w:val="22"/>
                        </w:rPr>
                        <w:t>Labiausiai skurstantys asmenys – fiziniai asmenys, atskiri asmenys, šeimos, namų ūkiai ar tokių asmenų grupės, kurie pagal nacionalinių kompetentingų institucijų nustatytus (konsultuojantis su atitinkamais suinteresuotaisiais subjektais ir vengiant interesų konfliktų) arba organizacijų partnerių apibrėžtus ir nacionalinių kompetentingų institucijų patvirtintus objektyvius kriterijus įvardijami ar pripažįstami remtinais, ir šie kriterijai gali apimti elementus, kurie leidžia nukreipti pagalbą labiausiai skurstantiems asmenims tam tikrose geografinėse vietovėse.</w:t>
                      </w:r>
                    </w:p>
                  </w:txbxContent>
                </v:textbox>
              </v:shape>
            </w:pict>
          </mc:Fallback>
        </mc:AlternateContent>
      </w:r>
    </w:p>
    <w:p w14:paraId="775BAF17" w14:textId="15BB5734" w:rsidR="00596FDB" w:rsidRPr="00730CC1" w:rsidRDefault="00596FDB" w:rsidP="00596FDB">
      <w:pPr>
        <w:pStyle w:val="Default"/>
        <w:spacing w:before="120"/>
        <w:rPr>
          <w:rFonts w:ascii="Cambria" w:hAnsi="Cambria"/>
          <w:sz w:val="22"/>
          <w:szCs w:val="22"/>
        </w:rPr>
      </w:pPr>
    </w:p>
    <w:p w14:paraId="13590124" w14:textId="3C224145" w:rsidR="00596FDB" w:rsidRPr="00730CC1" w:rsidRDefault="00596FDB" w:rsidP="00596FDB">
      <w:pPr>
        <w:pStyle w:val="CM3"/>
        <w:spacing w:before="60" w:after="60"/>
        <w:rPr>
          <w:rFonts w:cs="EUAlbertina"/>
          <w:color w:val="000000"/>
        </w:rPr>
      </w:pPr>
    </w:p>
    <w:p w14:paraId="588D7840" w14:textId="77777777" w:rsidR="00596FDB" w:rsidRPr="00730CC1" w:rsidRDefault="00596FDB" w:rsidP="00596FDB">
      <w:pPr>
        <w:rPr>
          <w:rFonts w:cs="EUAlbertina"/>
          <w:color w:val="000000"/>
          <w:sz w:val="19"/>
          <w:szCs w:val="19"/>
        </w:rPr>
      </w:pPr>
    </w:p>
    <w:p w14:paraId="464B159A" w14:textId="77777777" w:rsidR="00596FDB" w:rsidRPr="00730CC1" w:rsidRDefault="00596FDB" w:rsidP="00596FDB">
      <w:pPr>
        <w:rPr>
          <w:rFonts w:cs="EUAlbertina"/>
          <w:color w:val="000000"/>
          <w:sz w:val="19"/>
          <w:szCs w:val="19"/>
        </w:rPr>
      </w:pPr>
    </w:p>
    <w:p w14:paraId="4988936E" w14:textId="77777777" w:rsidR="00596FDB" w:rsidRPr="00730CC1" w:rsidRDefault="00596FDB" w:rsidP="00596FDB">
      <w:pPr>
        <w:rPr>
          <w:rFonts w:cs="Arial"/>
          <w:sz w:val="22"/>
        </w:rPr>
      </w:pPr>
    </w:p>
    <w:p w14:paraId="178CBEAD" w14:textId="77777777" w:rsidR="00596FDB" w:rsidRPr="00730CC1" w:rsidRDefault="00596FDB" w:rsidP="00596FDB">
      <w:pPr>
        <w:suppressAutoHyphens/>
        <w:autoSpaceDE w:val="0"/>
        <w:autoSpaceDN w:val="0"/>
        <w:adjustRightInd w:val="0"/>
        <w:spacing w:line="280" w:lineRule="auto"/>
        <w:textAlignment w:val="center"/>
        <w:rPr>
          <w:color w:val="000000"/>
          <w:spacing w:val="-6"/>
          <w:sz w:val="22"/>
        </w:rPr>
      </w:pPr>
    </w:p>
    <w:p w14:paraId="7622B042" w14:textId="6BCF1F4F" w:rsidR="00E21B0A" w:rsidRPr="00730CC1" w:rsidRDefault="00BE398E" w:rsidP="00A23F5F">
      <w:pPr>
        <w:suppressAutoHyphens/>
        <w:autoSpaceDE w:val="0"/>
        <w:autoSpaceDN w:val="0"/>
        <w:adjustRightInd w:val="0"/>
        <w:ind w:left="363"/>
        <w:jc w:val="both"/>
        <w:textAlignment w:val="center"/>
        <w:rPr>
          <w:color w:val="000000"/>
          <w:sz w:val="22"/>
        </w:rPr>
      </w:pPr>
      <w:r w:rsidRPr="00730CC1">
        <w:rPr>
          <w:color w:val="000000"/>
          <w:sz w:val="22"/>
        </w:rPr>
        <w:t xml:space="preserve">Vadovaujantis </w:t>
      </w:r>
      <w:r w:rsidR="00E36648" w:rsidRPr="00730CC1">
        <w:rPr>
          <w:color w:val="000000"/>
          <w:sz w:val="22"/>
        </w:rPr>
        <w:t>Fondo bendrai finansuojamų projektų laikinąja tvarka</w:t>
      </w:r>
      <w:r w:rsidR="00E36648" w:rsidRPr="00730CC1">
        <w:rPr>
          <w:rStyle w:val="FootnoteReference"/>
          <w:color w:val="000000"/>
          <w:sz w:val="22"/>
        </w:rPr>
        <w:footnoteReference w:id="18"/>
      </w:r>
      <w:r w:rsidR="00E36648" w:rsidRPr="00730CC1">
        <w:rPr>
          <w:color w:val="000000"/>
          <w:sz w:val="22"/>
        </w:rPr>
        <w:t>, visus reikalavimus projektams, taip pat ir tikslinę grupę nustato LR socialinės apsaugos ir darbo ministerija</w:t>
      </w:r>
      <w:r w:rsidR="002B1266" w:rsidRPr="00730CC1">
        <w:rPr>
          <w:color w:val="000000"/>
          <w:sz w:val="22"/>
        </w:rPr>
        <w:t xml:space="preserve"> (vadovaujanti institucija), kuri rengia projektų finansavimo sąlygų aprašus. Veiksmų programos projekte yra </w:t>
      </w:r>
      <w:r w:rsidR="0035011F" w:rsidRPr="00730CC1">
        <w:rPr>
          <w:color w:val="000000"/>
          <w:sz w:val="22"/>
        </w:rPr>
        <w:t>aprašyt</w:t>
      </w:r>
      <w:r w:rsidR="00505B04" w:rsidRPr="00730CC1">
        <w:rPr>
          <w:color w:val="000000"/>
          <w:sz w:val="22"/>
        </w:rPr>
        <w:t>i veiksmai (pvz.</w:t>
      </w:r>
      <w:r w:rsidR="002D109F">
        <w:rPr>
          <w:color w:val="000000"/>
          <w:sz w:val="22"/>
        </w:rPr>
        <w:t>,</w:t>
      </w:r>
      <w:r w:rsidR="00505B04" w:rsidRPr="00730CC1">
        <w:rPr>
          <w:color w:val="000000"/>
          <w:sz w:val="22"/>
        </w:rPr>
        <w:t xml:space="preserve"> konsultacijos ir apskritojo stalo diskusijos su suinteresuotosiomis pusėmis), kurių turi imtis vadovaujanti institucija, nustatydama atrankos kriterijus ir įtraukdama juos į nacionalinius teisės aktus.  </w:t>
      </w:r>
      <w:r w:rsidR="00794573" w:rsidRPr="00262904">
        <w:rPr>
          <w:color w:val="000000"/>
          <w:sz w:val="22"/>
        </w:rPr>
        <w:t>2014</w:t>
      </w:r>
      <w:r w:rsidR="00547417" w:rsidRPr="00262904">
        <w:t>–</w:t>
      </w:r>
      <w:r w:rsidR="00794573" w:rsidRPr="00262904">
        <w:rPr>
          <w:color w:val="000000"/>
          <w:sz w:val="22"/>
        </w:rPr>
        <w:t>2020 m. Fondo projekt</w:t>
      </w:r>
      <w:r w:rsidR="0062752F">
        <w:rPr>
          <w:color w:val="000000"/>
          <w:sz w:val="22"/>
        </w:rPr>
        <w:t>ams</w:t>
      </w:r>
      <w:r w:rsidR="00794573" w:rsidRPr="00262904">
        <w:rPr>
          <w:color w:val="000000"/>
          <w:sz w:val="22"/>
        </w:rPr>
        <w:t>, finansuojam</w:t>
      </w:r>
      <w:r w:rsidR="0062752F">
        <w:rPr>
          <w:color w:val="000000"/>
          <w:sz w:val="22"/>
        </w:rPr>
        <w:t>iems</w:t>
      </w:r>
      <w:r w:rsidR="00794573" w:rsidRPr="00262904">
        <w:rPr>
          <w:color w:val="000000"/>
          <w:sz w:val="22"/>
        </w:rPr>
        <w:t xml:space="preserve"> pagal laikinąją tvarką, finansavimo sąlygų aprašuose nustatyta paramos maisto produktais tikslinė grupės yra asmenys</w:t>
      </w:r>
      <w:r w:rsidR="00794573" w:rsidRPr="00730CC1">
        <w:rPr>
          <w:color w:val="000000"/>
          <w:sz w:val="22"/>
        </w:rPr>
        <w:t>, kurių vidutinės mėnesio pajamos neviršija valstybės remiamų pajamų 1,5 dydžio (t.</w:t>
      </w:r>
      <w:r w:rsidR="00547417">
        <w:rPr>
          <w:color w:val="000000"/>
          <w:sz w:val="22"/>
        </w:rPr>
        <w:t xml:space="preserve"> </w:t>
      </w:r>
      <w:r w:rsidR="00794573" w:rsidRPr="00730CC1">
        <w:rPr>
          <w:color w:val="000000"/>
          <w:sz w:val="22"/>
        </w:rPr>
        <w:t>y. 525 Lt) per mėnesį.</w:t>
      </w:r>
      <w:r w:rsidR="0090360D" w:rsidRPr="00730CC1">
        <w:rPr>
          <w:color w:val="000000"/>
          <w:sz w:val="22"/>
        </w:rPr>
        <w:t xml:space="preserve"> Taip pat savivaldybėms paliekama teisė skirti paramą ir kitais atvejai, kai atsiradus papildomų išlaidų (asmens neįgalumo ar sunkios ligos, nelaimės atvejais), šeimos pajamos vienam jos nariui yra didesnės nei 1,5 VRP dydžio, bet neviršija 2 VRP dydžių per mėnesį.</w:t>
      </w:r>
      <w:r w:rsidR="00B4529D" w:rsidRPr="00730CC1">
        <w:rPr>
          <w:color w:val="000000"/>
          <w:sz w:val="22"/>
        </w:rPr>
        <w:t xml:space="preserve"> Šis Fondo teikiamos paramos gavėjų atrankos kriterijus nustato griežtesnius nei skurdo rizikos riba, kuri vienam gyvenančiam asmeniui 2012 m. sudarė 749 Lt, reikalavimus, tad galima teigti jog Fondo parama yra tinkamai nukreipta į </w:t>
      </w:r>
      <w:r w:rsidR="005A50FC">
        <w:rPr>
          <w:color w:val="000000"/>
          <w:sz w:val="22"/>
        </w:rPr>
        <w:t xml:space="preserve">itin </w:t>
      </w:r>
      <w:r w:rsidR="00B4529D" w:rsidRPr="00730CC1">
        <w:rPr>
          <w:color w:val="000000"/>
          <w:sz w:val="22"/>
        </w:rPr>
        <w:t xml:space="preserve">didelį nepriteklių patiriančius asmenis. Tokius pačius tikslinės grupės nustatymo kriterijus planuojama </w:t>
      </w:r>
      <w:r w:rsidR="00B4529D" w:rsidRPr="00730CC1">
        <w:rPr>
          <w:color w:val="000000"/>
          <w:sz w:val="22"/>
        </w:rPr>
        <w:lastRenderedPageBreak/>
        <w:t xml:space="preserve">taikyti ir teikiant Fondo remiamą pagalbą </w:t>
      </w:r>
      <w:r w:rsidR="005368CE" w:rsidRPr="00730CC1">
        <w:rPr>
          <w:color w:val="000000"/>
          <w:sz w:val="22"/>
        </w:rPr>
        <w:t>pagrindinio vartojimo</w:t>
      </w:r>
      <w:r w:rsidR="00B4529D" w:rsidRPr="00730CC1">
        <w:rPr>
          <w:color w:val="000000"/>
          <w:sz w:val="22"/>
        </w:rPr>
        <w:t xml:space="preserve"> prekėmis</w:t>
      </w:r>
      <w:r w:rsidR="005368CE" w:rsidRPr="00730CC1">
        <w:rPr>
          <w:color w:val="000000"/>
          <w:sz w:val="22"/>
        </w:rPr>
        <w:t>.</w:t>
      </w:r>
      <w:r w:rsidR="00983186" w:rsidRPr="00730CC1">
        <w:rPr>
          <w:color w:val="000000"/>
          <w:sz w:val="22"/>
        </w:rPr>
        <w:t xml:space="preserve"> Nors šis </w:t>
      </w:r>
      <w:r w:rsidR="0004778C" w:rsidRPr="00730CC1">
        <w:rPr>
          <w:color w:val="000000"/>
          <w:sz w:val="22"/>
        </w:rPr>
        <w:t xml:space="preserve">atrankos </w:t>
      </w:r>
      <w:r w:rsidR="00983186" w:rsidRPr="00730CC1">
        <w:rPr>
          <w:color w:val="000000"/>
          <w:sz w:val="22"/>
        </w:rPr>
        <w:t xml:space="preserve">kriterijus nėra tiesiogiai susijęs su statistiniu materialinio nepritekliaus rodikliu, apimančiu patiriamus ekonominius sunkumus ir naudojimąsi ilgalaikio naudojimo daiktais, </w:t>
      </w:r>
      <w:r w:rsidR="0004778C" w:rsidRPr="00730CC1">
        <w:rPr>
          <w:color w:val="000000"/>
          <w:sz w:val="22"/>
        </w:rPr>
        <w:t xml:space="preserve"> jis yra objektyvus ir </w:t>
      </w:r>
      <w:r w:rsidR="00E21B0A" w:rsidRPr="00730CC1">
        <w:rPr>
          <w:color w:val="000000"/>
          <w:sz w:val="22"/>
        </w:rPr>
        <w:t>nediskriminuojantis atskirų  gyventojų grupių.</w:t>
      </w:r>
      <w:r w:rsidR="00FC46B2" w:rsidRPr="00730CC1">
        <w:rPr>
          <w:color w:val="000000"/>
          <w:sz w:val="22"/>
        </w:rPr>
        <w:t xml:space="preserve"> S</w:t>
      </w:r>
      <w:r w:rsidR="005A50FC">
        <w:rPr>
          <w:color w:val="000000"/>
          <w:sz w:val="22"/>
        </w:rPr>
        <w:t>avo ruožtu s</w:t>
      </w:r>
      <w:r w:rsidR="00FC46B2" w:rsidRPr="00730CC1">
        <w:rPr>
          <w:color w:val="000000"/>
          <w:sz w:val="22"/>
        </w:rPr>
        <w:t>avivaldybėms palikta galimybė pačioms atrinkti asmenis, kuriems būtų taikoma išimtis ir parama būtų teikiama net ir viršijant nustatytą 1,5 VRP dydžio ribą,  padidina VP veiklų įgyvendin</w:t>
      </w:r>
      <w:r w:rsidR="00A8555E" w:rsidRPr="00730CC1">
        <w:rPr>
          <w:color w:val="000000"/>
          <w:sz w:val="22"/>
        </w:rPr>
        <w:t xml:space="preserve">imo lankstumą. </w:t>
      </w:r>
    </w:p>
    <w:p w14:paraId="427D3143" w14:textId="77777777" w:rsidR="00804C6E" w:rsidRPr="00730CC1" w:rsidRDefault="00804C6E" w:rsidP="00505B04">
      <w:pPr>
        <w:suppressAutoHyphens/>
        <w:autoSpaceDE w:val="0"/>
        <w:autoSpaceDN w:val="0"/>
        <w:adjustRightInd w:val="0"/>
        <w:spacing w:line="280" w:lineRule="auto"/>
        <w:jc w:val="both"/>
        <w:textAlignment w:val="center"/>
        <w:rPr>
          <w:color w:val="000000"/>
          <w:sz w:val="22"/>
        </w:rPr>
      </w:pPr>
    </w:p>
    <w:p w14:paraId="00516BF9" w14:textId="630AB395" w:rsidR="00794F1C" w:rsidRPr="00730CC1" w:rsidRDefault="00E21B0A" w:rsidP="00440F15">
      <w:pPr>
        <w:suppressAutoHyphens/>
        <w:autoSpaceDE w:val="0"/>
        <w:autoSpaceDN w:val="0"/>
        <w:adjustRightInd w:val="0"/>
        <w:spacing w:line="280" w:lineRule="auto"/>
        <w:ind w:left="363"/>
        <w:jc w:val="both"/>
        <w:textAlignment w:val="center"/>
        <w:rPr>
          <w:color w:val="000000"/>
          <w:sz w:val="22"/>
        </w:rPr>
      </w:pPr>
      <w:r w:rsidRPr="00730CC1">
        <w:rPr>
          <w:color w:val="000000"/>
          <w:sz w:val="22"/>
        </w:rPr>
        <w:t>Atsižvelgiant į tai, kad</w:t>
      </w:r>
      <w:r w:rsidR="00262904">
        <w:rPr>
          <w:color w:val="000000"/>
          <w:sz w:val="22"/>
        </w:rPr>
        <w:t>,</w:t>
      </w:r>
      <w:r w:rsidRPr="00730CC1">
        <w:rPr>
          <w:color w:val="000000"/>
          <w:sz w:val="22"/>
        </w:rPr>
        <w:t xml:space="preserve"> </w:t>
      </w:r>
      <w:r w:rsidR="00272132" w:rsidRPr="00730CC1">
        <w:rPr>
          <w:color w:val="000000"/>
          <w:sz w:val="22"/>
        </w:rPr>
        <w:t xml:space="preserve">nustatant tikslinę paramos gavėjų grupę ir tinkamiausias pagalbos priemones, buvo atlikta suinteresuotųjų pusių (visų savivaldybių ir nevyriausybinių organizacijų, dirbančių skurdo mažinimo srityje) apklausa, galima tvirtinti, kad tiek tikslinė grupė, tiek  pasirinktos pagalbos priemonės atitinka situacijos analizės identifikuotus poreikius ir Fondo reglamento reikalavimus. </w:t>
      </w:r>
      <w:r w:rsidR="00271762" w:rsidRPr="00730CC1">
        <w:rPr>
          <w:color w:val="000000"/>
          <w:sz w:val="22"/>
        </w:rPr>
        <w:t xml:space="preserve">Siekiant sumažinti skurdą ir socialinę atskirtį arba jų riziką patiriančių žmonių skaičių, nacionalinio biudžeto lėšomis yra finansuojamos tokios priemonės kaip  socialinės pašalpos, būsto šildymo, geriamojo ir karšto vandens išlaidų kompensacijos, mokinių nemokamas maitinimas, parama mokinio reikmenims įsigyti, išmokos vaikams. Fondo remiama pagalba maisto produktais ir pagrindinio vartojimo prekėmis papildys šias priemones, </w:t>
      </w:r>
      <w:r w:rsidR="00FC46B2" w:rsidRPr="00730CC1">
        <w:rPr>
          <w:color w:val="000000"/>
          <w:sz w:val="22"/>
        </w:rPr>
        <w:t>skirtas gyventojams, susidūrusiems su skurdo ar socialinės atskirties rizik</w:t>
      </w:r>
      <w:r w:rsidR="00C00218">
        <w:rPr>
          <w:color w:val="000000"/>
          <w:sz w:val="22"/>
        </w:rPr>
        <w:t>a</w:t>
      </w:r>
      <w:r w:rsidR="00FC46B2" w:rsidRPr="00730CC1">
        <w:rPr>
          <w:color w:val="000000"/>
          <w:sz w:val="22"/>
        </w:rPr>
        <w:t xml:space="preserve">. </w:t>
      </w:r>
      <w:r w:rsidR="00FC46B2" w:rsidRPr="00DF57DD">
        <w:rPr>
          <w:color w:val="000000"/>
          <w:sz w:val="22"/>
        </w:rPr>
        <w:t>Tačiau siekiant tvarių rezultatų</w:t>
      </w:r>
      <w:r w:rsidR="003414A8" w:rsidRPr="00DF57DD">
        <w:rPr>
          <w:color w:val="000000"/>
          <w:sz w:val="22"/>
        </w:rPr>
        <w:t>,</w:t>
      </w:r>
      <w:r w:rsidR="0086163D" w:rsidRPr="00DF57DD">
        <w:rPr>
          <w:color w:val="000000"/>
          <w:sz w:val="22"/>
        </w:rPr>
        <w:t xml:space="preserve"> šalia finansinės ir nefinansinės paramos tikslinės grupės atstovams turi būti įgyvendinamos intervencijos, nukreiptos į skurdo ir socialinės atskirties priežasčių pašalinimą.</w:t>
      </w:r>
      <w:r w:rsidR="0086163D" w:rsidRPr="00730CC1">
        <w:rPr>
          <w:color w:val="000000"/>
          <w:sz w:val="22"/>
        </w:rPr>
        <w:t xml:space="preserve"> </w:t>
      </w:r>
      <w:r w:rsidR="00794F1C" w:rsidRPr="00730CC1">
        <w:rPr>
          <w:rFonts w:eastAsia="Cambria" w:cs="Cambria"/>
          <w:color w:val="000000"/>
          <w:sz w:val="22"/>
        </w:rPr>
        <w:t>Reikšmingos investicijos šioje srityj</w:t>
      </w:r>
      <w:r w:rsidR="00851F15" w:rsidRPr="00730CC1">
        <w:rPr>
          <w:rFonts w:eastAsia="Cambria" w:cs="Cambria"/>
          <w:color w:val="000000"/>
          <w:sz w:val="22"/>
        </w:rPr>
        <w:t>e numatomos pagal Lietuvos 2014–</w:t>
      </w:r>
      <w:r w:rsidR="00794F1C" w:rsidRPr="00730CC1">
        <w:rPr>
          <w:rFonts w:eastAsia="Cambria" w:cs="Cambria"/>
          <w:color w:val="000000"/>
          <w:sz w:val="22"/>
        </w:rPr>
        <w:t xml:space="preserve">2020 m. ES fondų investicijų veiksmų programos 8 prioritetą </w:t>
      </w:r>
      <w:r w:rsidR="00794F1C" w:rsidRPr="00730CC1">
        <w:rPr>
          <w:rFonts w:eastAsia="Cambria" w:cs="Cambria"/>
          <w:sz w:val="22"/>
        </w:rPr>
        <w:t xml:space="preserve">„Socialinės įtraukties didinimas ir kova su skurdu“, </w:t>
      </w:r>
      <w:r w:rsidR="00794F1C" w:rsidRPr="00EE6EE6">
        <w:rPr>
          <w:rFonts w:eastAsia="Cambria" w:cs="Cambria"/>
          <w:sz w:val="22"/>
        </w:rPr>
        <w:t>jungiantį</w:t>
      </w:r>
      <w:r w:rsidR="00794F1C" w:rsidRPr="00730CC1">
        <w:rPr>
          <w:rFonts w:eastAsia="Cambria" w:cs="Cambria"/>
          <w:sz w:val="22"/>
        </w:rPr>
        <w:t xml:space="preserve"> Europos socialinio fondo (ESF) ir Europos regioninės plėtros fondo (ERPF) finansavimą, taip pat 7 prioritetą  „Kokybiško užimtumo ir dalyvavimo darbo rinkoje skatinimas“</w:t>
      </w:r>
      <w:r w:rsidR="00794F1C" w:rsidRPr="00730CC1">
        <w:rPr>
          <w:rStyle w:val="FootnoteReference"/>
          <w:sz w:val="22"/>
        </w:rPr>
        <w:footnoteReference w:id="19"/>
      </w:r>
      <w:r w:rsidR="00137BC5">
        <w:rPr>
          <w:rFonts w:eastAsia="Cambria" w:cs="Cambria"/>
          <w:sz w:val="22"/>
        </w:rPr>
        <w:t>.</w:t>
      </w:r>
    </w:p>
    <w:p w14:paraId="4EA7EA5A" w14:textId="77777777" w:rsidR="00794F1C" w:rsidRPr="00730CC1" w:rsidRDefault="00794F1C" w:rsidP="00440F15">
      <w:pPr>
        <w:suppressAutoHyphens/>
        <w:spacing w:line="280" w:lineRule="auto"/>
        <w:ind w:left="363"/>
        <w:jc w:val="both"/>
        <w:rPr>
          <w:rFonts w:eastAsia="Cambria" w:cs="Cambria"/>
          <w:color w:val="000000"/>
        </w:rPr>
      </w:pPr>
    </w:p>
    <w:p w14:paraId="1AD64FB2" w14:textId="28ABF819" w:rsidR="00794F1C" w:rsidRPr="00730CC1" w:rsidRDefault="00794F1C" w:rsidP="00440F15">
      <w:pPr>
        <w:suppressAutoHyphens/>
        <w:spacing w:line="280" w:lineRule="auto"/>
        <w:ind w:left="363"/>
        <w:jc w:val="both"/>
        <w:rPr>
          <w:rFonts w:eastAsia="Cambria" w:cs="Cambria"/>
        </w:rPr>
      </w:pPr>
      <w:r w:rsidRPr="00730CC1">
        <w:rPr>
          <w:rFonts w:eastAsia="Cambria" w:cs="Cambria"/>
          <w:sz w:val="22"/>
        </w:rPr>
        <w:t xml:space="preserve">Europos pagalbos labiausiai skurstantiems asmenims fondo veiksmų programos įgyvendinimo efektyvumui ir rezultatų pasiekimui didžiausią poveikį gali turėti Fondo administravimo sistemos ir projektų vykdytojų bei partnerių organizacijų pajėgumai tinkamai planuoti ir įgyvendinti veiklas. Interviu su suinteresuotosiomis pusėmis programa atskleidė, kad labai svarbu yra užtikrinti </w:t>
      </w:r>
      <w:r w:rsidR="00EE6EE6">
        <w:rPr>
          <w:rFonts w:eastAsia="Cambria" w:cs="Cambria"/>
          <w:sz w:val="22"/>
        </w:rPr>
        <w:t>laiku atliekamą</w:t>
      </w:r>
      <w:r w:rsidRPr="00730CC1">
        <w:rPr>
          <w:rFonts w:eastAsia="Cambria" w:cs="Cambria"/>
          <w:sz w:val="22"/>
        </w:rPr>
        <w:t xml:space="preserve"> ir tęstinį Fondo remiamų veiklų įgyvendinimą: tik tinkamai suplanuoti ir pradėti vykdyti projektai gali užtikrinti, kad Fondo parama laiku pasieks labiausiai skurstančius asmenis, o reguliarus paramos paket</w:t>
      </w:r>
      <w:r w:rsidR="00137BC5">
        <w:rPr>
          <w:rFonts w:eastAsia="Cambria" w:cs="Cambria"/>
          <w:sz w:val="22"/>
        </w:rPr>
        <w:t>ų</w:t>
      </w:r>
      <w:r w:rsidRPr="00730CC1">
        <w:rPr>
          <w:rFonts w:eastAsia="Cambria" w:cs="Cambria"/>
          <w:sz w:val="22"/>
        </w:rPr>
        <w:t xml:space="preserve"> dalinimo grafikas leis partnerėms organizacijoms planuoti savo veiklą ir informuoti paramos gavėjus apie </w:t>
      </w:r>
      <w:r w:rsidR="00137BC5">
        <w:rPr>
          <w:rFonts w:eastAsia="Cambria" w:cs="Cambria"/>
          <w:sz w:val="22"/>
        </w:rPr>
        <w:t>kitą</w:t>
      </w:r>
      <w:r w:rsidRPr="00730CC1">
        <w:rPr>
          <w:rFonts w:eastAsia="Cambria" w:cs="Cambria"/>
          <w:sz w:val="22"/>
        </w:rPr>
        <w:t xml:space="preserve"> planuojamą paramos dalinimą</w:t>
      </w:r>
      <w:r w:rsidR="006032D0" w:rsidRPr="00730CC1">
        <w:rPr>
          <w:rStyle w:val="FootnoteReference"/>
          <w:rFonts w:eastAsia="Cambria" w:cs="Cambria"/>
          <w:sz w:val="22"/>
        </w:rPr>
        <w:footnoteReference w:id="20"/>
      </w:r>
      <w:r w:rsidRPr="00730CC1">
        <w:rPr>
          <w:rFonts w:eastAsia="Cambria" w:cs="Cambria"/>
          <w:sz w:val="22"/>
        </w:rPr>
        <w:t>. Kita vertus, Fondo veiksmų programos įgyvendinimui ir nustatytiems rodikliams įtakos gali turėti ir tokie išorės veiksniai kaip kitų nacionalinių ir ES remiamų programų įgyvendinimas, socialinės piniginės paramos sistemos reformos, ekonomikos ciklas. Tačiau šiuo metu nustatytos tikslinės grupės ir Fondo lėšomis finansuojamų paramos paketus sudarančių produktų ir prekių nustatymo procedūros užtikrina Fondo veiksmų programos įgyvendinimo lankstumą ir galimybes prisitaikyti prie situacijos pokyčių.</w:t>
      </w:r>
    </w:p>
    <w:p w14:paraId="02FFC87A" w14:textId="77777777" w:rsidR="00596FDB" w:rsidRPr="00730CC1" w:rsidRDefault="00596FDB" w:rsidP="00212F1C">
      <w:pPr>
        <w:pStyle w:val="Text"/>
        <w:ind w:left="0"/>
      </w:pPr>
    </w:p>
    <w:p w14:paraId="1F54F8C5" w14:textId="6E008EDA" w:rsidR="007C7AD4" w:rsidRPr="00730CC1" w:rsidRDefault="00A52582" w:rsidP="000B63D3">
      <w:pPr>
        <w:pStyle w:val="Heading2"/>
        <w:numPr>
          <w:ilvl w:val="0"/>
          <w:numId w:val="6"/>
        </w:numPr>
        <w:rPr>
          <w:rStyle w:val="Heading1Char"/>
        </w:rPr>
      </w:pPr>
      <w:bookmarkStart w:id="4" w:name="_Toc393467606"/>
      <w:r w:rsidRPr="00730CC1">
        <w:rPr>
          <w:rStyle w:val="Heading1Char"/>
        </w:rPr>
        <w:lastRenderedPageBreak/>
        <w:t>STEBĖSENOS RODIKLIŲ TINKAMUMAS IR REALISTIŠKUMAS</w:t>
      </w:r>
      <w:bookmarkEnd w:id="4"/>
    </w:p>
    <w:p w14:paraId="0B9E67B9" w14:textId="7BB6B3A9" w:rsidR="00AF1C3D" w:rsidRPr="00730CC1" w:rsidRDefault="00AF1C3D" w:rsidP="000B63D3">
      <w:pPr>
        <w:pStyle w:val="Default"/>
        <w:numPr>
          <w:ilvl w:val="0"/>
          <w:numId w:val="21"/>
        </w:numPr>
        <w:jc w:val="both"/>
        <w:rPr>
          <w:rFonts w:asciiTheme="majorHAnsi" w:hAnsiTheme="majorHAnsi"/>
          <w:color w:val="036575" w:themeColor="accent5" w:themeTint="E6"/>
        </w:rPr>
      </w:pPr>
      <w:r w:rsidRPr="00730CC1">
        <w:rPr>
          <w:rFonts w:asciiTheme="majorHAnsi" w:hAnsiTheme="majorHAnsi"/>
          <w:color w:val="036575" w:themeColor="accent5" w:themeTint="E6"/>
        </w:rPr>
        <w:t xml:space="preserve">Ar numatyti finansiniai ištekliai yra pakankami veiksmų programos tikslams pasiekti? Ar pasirinktos pačios efektyviausios paramos skirstymo formos? </w:t>
      </w:r>
    </w:p>
    <w:p w14:paraId="1817883C" w14:textId="77777777" w:rsidR="00794F1C" w:rsidRPr="00730CC1" w:rsidRDefault="00794F1C" w:rsidP="00794F1C">
      <w:pPr>
        <w:pStyle w:val="Default"/>
        <w:ind w:left="360"/>
        <w:jc w:val="both"/>
        <w:rPr>
          <w:rFonts w:asciiTheme="majorHAnsi" w:hAnsiTheme="majorHAnsi"/>
          <w:color w:val="036575" w:themeColor="accent5" w:themeTint="E6"/>
        </w:rPr>
      </w:pPr>
    </w:p>
    <w:p w14:paraId="6E176D78" w14:textId="2C9838B7" w:rsidR="00794F1C" w:rsidRPr="00730CC1" w:rsidRDefault="00794F1C" w:rsidP="00440F15">
      <w:pPr>
        <w:ind w:left="363"/>
        <w:jc w:val="both"/>
        <w:rPr>
          <w:rFonts w:eastAsia="Cambria" w:cs="Cambria"/>
          <w:sz w:val="22"/>
        </w:rPr>
      </w:pPr>
      <w:r w:rsidRPr="00730CC1">
        <w:rPr>
          <w:rFonts w:eastAsia="Cambria" w:cs="Cambria"/>
          <w:sz w:val="22"/>
        </w:rPr>
        <w:t>Fondo veiksmų programai įgyvendinti numatyta virš 90 mln. eurų</w:t>
      </w:r>
      <w:r w:rsidR="00F43244" w:rsidRPr="00730CC1">
        <w:rPr>
          <w:rFonts w:eastAsia="Cambria" w:cs="Cambria"/>
          <w:sz w:val="22"/>
        </w:rPr>
        <w:t xml:space="preserve">, iš kurių apie </w:t>
      </w:r>
      <w:r w:rsidR="003A026B" w:rsidRPr="00730CC1">
        <w:rPr>
          <w:rFonts w:eastAsia="Cambria" w:cs="Cambria"/>
          <w:sz w:val="22"/>
        </w:rPr>
        <w:t>62</w:t>
      </w:r>
      <w:r w:rsidR="00440F15" w:rsidRPr="00730CC1">
        <w:rPr>
          <w:rFonts w:eastAsia="Cambria" w:cs="Cambria"/>
          <w:sz w:val="22"/>
        </w:rPr>
        <w:t xml:space="preserve"> proc. planu</w:t>
      </w:r>
      <w:r w:rsidR="003A026B" w:rsidRPr="00730CC1">
        <w:rPr>
          <w:rFonts w:eastAsia="Cambria" w:cs="Cambria"/>
          <w:sz w:val="22"/>
        </w:rPr>
        <w:t>ojama skirti maisto produktams</w:t>
      </w:r>
      <w:r w:rsidR="00440F15" w:rsidRPr="00730CC1">
        <w:rPr>
          <w:rFonts w:eastAsia="Cambria" w:cs="Cambria"/>
          <w:sz w:val="22"/>
        </w:rPr>
        <w:t>,</w:t>
      </w:r>
      <w:r w:rsidR="003A026B" w:rsidRPr="00730CC1">
        <w:rPr>
          <w:rFonts w:eastAsia="Cambria" w:cs="Cambria"/>
          <w:sz w:val="22"/>
        </w:rPr>
        <w:t xml:space="preserve"> o</w:t>
      </w:r>
      <w:r w:rsidR="00440F15" w:rsidRPr="00730CC1">
        <w:rPr>
          <w:rFonts w:eastAsia="Cambria" w:cs="Cambria"/>
          <w:sz w:val="22"/>
        </w:rPr>
        <w:t xml:space="preserve"> 33 proc. – būtinojo vartojimo prekėms įsigyti</w:t>
      </w:r>
      <w:r w:rsidR="003A026B" w:rsidRPr="00730CC1">
        <w:rPr>
          <w:rFonts w:eastAsia="Cambria" w:cs="Cambria"/>
          <w:sz w:val="22"/>
        </w:rPr>
        <w:t>. Suplanuotas VP finansavimas yra daugiau ar mažiau tolygiai paskirstytas per visą</w:t>
      </w:r>
      <w:r w:rsidR="00440F15" w:rsidRPr="00730CC1">
        <w:rPr>
          <w:rFonts w:eastAsia="Cambria" w:cs="Cambria"/>
          <w:sz w:val="22"/>
        </w:rPr>
        <w:t xml:space="preserve"> </w:t>
      </w:r>
      <w:r w:rsidR="008D171F" w:rsidRPr="00730CC1">
        <w:rPr>
          <w:rFonts w:eastAsia="Cambria" w:cs="Cambria"/>
          <w:sz w:val="22"/>
        </w:rPr>
        <w:t>įgyvendinimo laikotarpį nuo 2014 iki 2020 m.</w:t>
      </w:r>
      <w:r w:rsidR="00137BC5">
        <w:rPr>
          <w:rFonts w:eastAsia="Cambria" w:cs="Cambria"/>
          <w:sz w:val="22"/>
        </w:rPr>
        <w:t>,</w:t>
      </w:r>
      <w:r w:rsidR="008D171F" w:rsidRPr="00730CC1">
        <w:rPr>
          <w:rFonts w:eastAsia="Cambria" w:cs="Cambria"/>
          <w:sz w:val="22"/>
        </w:rPr>
        <w:t xml:space="preserve"> palaipsniui didinant vieneriems metams numatytas sumas. Atsižvelgiant į tai, kad vienintelis VP projekte minimas kiekybinis rodiklis yra iki 300 tūkst. per vien</w:t>
      </w:r>
      <w:r w:rsidR="00D62D68">
        <w:rPr>
          <w:rFonts w:eastAsia="Cambria" w:cs="Cambria"/>
          <w:sz w:val="22"/>
        </w:rPr>
        <w:t>ą</w:t>
      </w:r>
      <w:r w:rsidR="008D171F" w:rsidRPr="00730CC1">
        <w:rPr>
          <w:rFonts w:eastAsia="Cambria" w:cs="Cambria"/>
          <w:sz w:val="22"/>
        </w:rPr>
        <w:t xml:space="preserve"> dalinimą paramą gavusių asmenų, galima daryti prielaidą, kad per metus vienam asmeniui paremti maisto produktais ir būtinojo vartojimo prekėmis planuojama skirti nuo 40 iki 45 eurų. Tad galima daryti išvadą, kad priklausomai nuo planuojamo paramos dalinimų skaičiaus, VP numatytas finansavimas yra pakankamas programos tikslui – palengvinti didelį materialinį nepriteklių patiriančių asmenų situaciją, teikiant paramą maisto produktais ir būtinojo vartojimo prekėmis</w:t>
      </w:r>
      <w:r w:rsidR="00137BC5">
        <w:rPr>
          <w:rFonts w:eastAsia="Cambria" w:cs="Cambria"/>
          <w:sz w:val="22"/>
        </w:rPr>
        <w:t xml:space="preserve"> –</w:t>
      </w:r>
      <w:r w:rsidR="008D171F" w:rsidRPr="00730CC1">
        <w:rPr>
          <w:rFonts w:eastAsia="Cambria" w:cs="Cambria"/>
          <w:sz w:val="22"/>
        </w:rPr>
        <w:t xml:space="preserve"> pasiekti.</w:t>
      </w:r>
    </w:p>
    <w:p w14:paraId="2A8446AB" w14:textId="77777777" w:rsidR="004941E2" w:rsidRPr="00730CC1" w:rsidRDefault="004941E2" w:rsidP="00440F15">
      <w:pPr>
        <w:ind w:left="363"/>
        <w:jc w:val="both"/>
        <w:rPr>
          <w:rFonts w:eastAsia="Cambria" w:cs="Cambria"/>
          <w:sz w:val="22"/>
        </w:rPr>
      </w:pPr>
    </w:p>
    <w:p w14:paraId="73D50316" w14:textId="0C1B2BC1" w:rsidR="002933DC" w:rsidRPr="00730CC1" w:rsidRDefault="004941E2" w:rsidP="006C73CD">
      <w:pPr>
        <w:ind w:left="363"/>
        <w:jc w:val="both"/>
        <w:rPr>
          <w:rFonts w:eastAsia="Cambria" w:cs="Cambria"/>
          <w:sz w:val="22"/>
        </w:rPr>
      </w:pPr>
      <w:r w:rsidRPr="00730CC1">
        <w:rPr>
          <w:rFonts w:eastAsia="Cambria" w:cs="Cambria"/>
          <w:sz w:val="22"/>
        </w:rPr>
        <w:t xml:space="preserve">Nors VP projekte nėra numatyta, kokios paramos formos bus taikomos skirstant Fondo paramą, interviu </w:t>
      </w:r>
      <w:r w:rsidR="002933DC" w:rsidRPr="00730CC1">
        <w:rPr>
          <w:rFonts w:eastAsia="Cambria" w:cs="Cambria"/>
          <w:sz w:val="22"/>
        </w:rPr>
        <w:t xml:space="preserve">ir projekto finansavimo sąlygų aprašų analizė </w:t>
      </w:r>
      <w:r w:rsidRPr="00730CC1">
        <w:rPr>
          <w:rFonts w:eastAsia="Cambria" w:cs="Cambria"/>
          <w:sz w:val="22"/>
        </w:rPr>
        <w:t xml:space="preserve">atskleidė, kad </w:t>
      </w:r>
      <w:r w:rsidR="00301B4C" w:rsidRPr="00730CC1">
        <w:rPr>
          <w:rFonts w:eastAsia="Cambria" w:cs="Cambria"/>
          <w:sz w:val="22"/>
        </w:rPr>
        <w:t xml:space="preserve">VP veikloms vykdyti bus taikomas faktiškai patirtų ir </w:t>
      </w:r>
      <w:r w:rsidR="00301B4C" w:rsidRPr="00262904">
        <w:rPr>
          <w:rFonts w:eastAsia="Cambria" w:cs="Cambria"/>
          <w:sz w:val="22"/>
        </w:rPr>
        <w:t>apmokėtų tinkamų</w:t>
      </w:r>
      <w:r w:rsidR="00301B4C" w:rsidRPr="00730CC1">
        <w:rPr>
          <w:rFonts w:eastAsia="Cambria" w:cs="Cambria"/>
          <w:sz w:val="22"/>
        </w:rPr>
        <w:t xml:space="preserve"> finansuoti išlaidų kompensavimas ir fiksuoto dydžio sumos, kai finansavimas apskaičiuojamas kaip procentinė vienos ar kelių nurodytų sąnaudų kategorijų dalis</w:t>
      </w:r>
      <w:r w:rsidR="006C73CD" w:rsidRPr="00730CC1">
        <w:rPr>
          <w:rStyle w:val="FootnoteReference"/>
          <w:rFonts w:eastAsia="Cambria" w:cs="Cambria"/>
          <w:sz w:val="22"/>
        </w:rPr>
        <w:footnoteReference w:id="21"/>
      </w:r>
      <w:r w:rsidR="00301B4C" w:rsidRPr="00730CC1">
        <w:rPr>
          <w:rFonts w:eastAsia="Cambria" w:cs="Cambria"/>
          <w:sz w:val="22"/>
        </w:rPr>
        <w:t>. P</w:t>
      </w:r>
      <w:r w:rsidR="008B49C1" w:rsidRPr="00730CC1">
        <w:rPr>
          <w:rFonts w:eastAsia="Cambria" w:cs="Cambria"/>
          <w:sz w:val="22"/>
        </w:rPr>
        <w:t>astarąją</w:t>
      </w:r>
      <w:r w:rsidR="00301B4C" w:rsidRPr="00730CC1">
        <w:rPr>
          <w:rFonts w:eastAsia="Cambria" w:cs="Cambria"/>
          <w:sz w:val="22"/>
        </w:rPr>
        <w:t xml:space="preserve"> paramos formą planuojama taikyti projekto vykdytojo ir partnerių organizacijų patirtoms administravimo išlaidoms apmokėti:</w:t>
      </w:r>
      <w:r w:rsidR="00004D88" w:rsidRPr="00730CC1">
        <w:rPr>
          <w:rFonts w:eastAsia="Cambria" w:cs="Cambria"/>
          <w:sz w:val="22"/>
        </w:rPr>
        <w:t xml:space="preserve"> atlikti</w:t>
      </w:r>
      <w:r w:rsidR="00301B4C" w:rsidRPr="00730CC1">
        <w:rPr>
          <w:rFonts w:eastAsia="Cambria" w:cs="Cambria"/>
          <w:sz w:val="22"/>
        </w:rPr>
        <w:t xml:space="preserve"> interviu atskleidė, kad </w:t>
      </w:r>
      <w:r w:rsidR="008B49C1" w:rsidRPr="00730CC1">
        <w:rPr>
          <w:rFonts w:eastAsia="Cambria" w:cs="Cambria"/>
          <w:sz w:val="22"/>
        </w:rPr>
        <w:t>partnerių organizacijoms</w:t>
      </w:r>
      <w:r w:rsidR="00004D88" w:rsidRPr="00730CC1">
        <w:rPr>
          <w:rFonts w:eastAsia="Cambria" w:cs="Cambria"/>
          <w:sz w:val="22"/>
        </w:rPr>
        <w:t xml:space="preserve"> yra labai svarbu užtikrinti veiklų administravimo sąnaudų finansavimą, numatant ir avansinio mokėjimo galimybę</w:t>
      </w:r>
      <w:r w:rsidR="00004D88" w:rsidRPr="00730CC1">
        <w:rPr>
          <w:rStyle w:val="FootnoteReference"/>
          <w:rFonts w:eastAsia="Cambria" w:cs="Cambria"/>
          <w:sz w:val="22"/>
        </w:rPr>
        <w:footnoteReference w:id="22"/>
      </w:r>
      <w:r w:rsidR="00004D88" w:rsidRPr="00730CC1">
        <w:rPr>
          <w:rFonts w:eastAsia="Cambria" w:cs="Cambria"/>
          <w:sz w:val="22"/>
        </w:rPr>
        <w:t>. Fiksuoto dydžio sumų taikymas projekto vykdytojo ir partnerių patiriamoms veiklų vykdymo ir administravimo sąnaudoms padengti yra efektyvi paramos forma, nes taip sumažinama projektus įgyvendinanči</w:t>
      </w:r>
      <w:r w:rsidR="00137BC5">
        <w:rPr>
          <w:rFonts w:eastAsia="Cambria" w:cs="Cambria"/>
          <w:sz w:val="22"/>
        </w:rPr>
        <w:t>oms</w:t>
      </w:r>
      <w:r w:rsidR="00004D88" w:rsidRPr="00730CC1">
        <w:rPr>
          <w:rFonts w:eastAsia="Cambria" w:cs="Cambria"/>
          <w:sz w:val="22"/>
        </w:rPr>
        <w:t xml:space="preserve"> organizacijoms tenkant</w:t>
      </w:r>
      <w:r w:rsidR="00137BC5">
        <w:rPr>
          <w:rFonts w:eastAsia="Cambria" w:cs="Cambria"/>
          <w:sz w:val="22"/>
        </w:rPr>
        <w:t>i</w:t>
      </w:r>
      <w:r w:rsidR="00004D88" w:rsidRPr="00730CC1">
        <w:rPr>
          <w:rFonts w:eastAsia="Cambria" w:cs="Cambria"/>
          <w:sz w:val="22"/>
        </w:rPr>
        <w:t xml:space="preserve"> administracinė našta.</w:t>
      </w:r>
    </w:p>
    <w:p w14:paraId="2F5B6839" w14:textId="77777777" w:rsidR="006C73CD" w:rsidRPr="00730CC1" w:rsidRDefault="006C73CD" w:rsidP="006C73CD">
      <w:pPr>
        <w:ind w:left="363"/>
        <w:jc w:val="both"/>
        <w:rPr>
          <w:rFonts w:eastAsia="Cambria" w:cs="Cambria"/>
          <w:sz w:val="22"/>
        </w:rPr>
      </w:pPr>
    </w:p>
    <w:tbl>
      <w:tblPr>
        <w:tblStyle w:val="VPVILentele1"/>
        <w:tblW w:w="0" w:type="auto"/>
        <w:tblInd w:w="534" w:type="dxa"/>
        <w:tblLook w:val="04A0" w:firstRow="1" w:lastRow="0" w:firstColumn="1" w:lastColumn="0" w:noHBand="0" w:noVBand="1"/>
      </w:tblPr>
      <w:tblGrid>
        <w:gridCol w:w="9639"/>
      </w:tblGrid>
      <w:tr w:rsidR="004941E2" w:rsidRPr="00730CC1" w14:paraId="7AECBEF0" w14:textId="77777777" w:rsidTr="00FB736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9" w:type="dxa"/>
          </w:tcPr>
          <w:p w14:paraId="176E3B7C" w14:textId="6CD31D3C" w:rsidR="004941E2" w:rsidRPr="00730CC1" w:rsidRDefault="004941E2" w:rsidP="001B2584">
            <w:pPr>
              <w:jc w:val="both"/>
              <w:rPr>
                <w:sz w:val="22"/>
              </w:rPr>
            </w:pPr>
            <w:r w:rsidRPr="00730CC1">
              <w:rPr>
                <w:sz w:val="22"/>
              </w:rPr>
              <w:t>Atsižvelgta</w:t>
            </w:r>
            <w:r w:rsidR="00137BC5">
              <w:rPr>
                <w:sz w:val="22"/>
              </w:rPr>
              <w:t> </w:t>
            </w:r>
          </w:p>
        </w:tc>
      </w:tr>
      <w:tr w:rsidR="004941E2" w:rsidRPr="00730CC1" w14:paraId="4D638656" w14:textId="77777777" w:rsidTr="00FB7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14:paraId="6765F48C" w14:textId="3BFB1381" w:rsidR="004941E2" w:rsidRPr="00730CC1" w:rsidRDefault="003B69F4" w:rsidP="006C73CD">
            <w:pPr>
              <w:jc w:val="both"/>
              <w:rPr>
                <w:sz w:val="22"/>
              </w:rPr>
            </w:pPr>
            <w:r>
              <w:rPr>
                <w:b/>
                <w:sz w:val="22"/>
              </w:rPr>
              <w:t>4</w:t>
            </w:r>
            <w:r w:rsidR="004941E2" w:rsidRPr="00730CC1">
              <w:rPr>
                <w:b/>
                <w:sz w:val="22"/>
              </w:rPr>
              <w:t xml:space="preserve"> rekomendacija.</w:t>
            </w:r>
            <w:r w:rsidR="004941E2" w:rsidRPr="00730CC1">
              <w:rPr>
                <w:sz w:val="22"/>
              </w:rPr>
              <w:t xml:space="preserve">  </w:t>
            </w:r>
            <w:r w:rsidR="006C73CD" w:rsidRPr="00730CC1">
              <w:rPr>
                <w:sz w:val="22"/>
              </w:rPr>
              <w:t>VP projekte nurodyti, kad</w:t>
            </w:r>
            <w:r w:rsidR="00137BC5">
              <w:rPr>
                <w:sz w:val="22"/>
              </w:rPr>
              <w:t>,</w:t>
            </w:r>
            <w:r w:rsidR="006C73CD" w:rsidRPr="00730CC1">
              <w:rPr>
                <w:sz w:val="22"/>
              </w:rPr>
              <w:t xml:space="preserve"> vykdant Fondo remiamas veiklas</w:t>
            </w:r>
            <w:r w:rsidR="00137BC5">
              <w:rPr>
                <w:sz w:val="22"/>
              </w:rPr>
              <w:t>,</w:t>
            </w:r>
            <w:r w:rsidR="006C73CD" w:rsidRPr="00730CC1">
              <w:rPr>
                <w:sz w:val="22"/>
              </w:rPr>
              <w:t xml:space="preserve"> projektų vykdytojo ir partnerių organizacijų patiriamoms veiklų vykdymo ir administravimo sąnaudoms kompensuoti bus taikomos fiksuoto dydžio sumos, kai finansavimas apskaičiuojamas kaip procentinė vienos ar kelių nurodytų sąnaudų kategorijų dalis. Taip būtų užtikrinta mažesnė administracinė našt</w:t>
            </w:r>
            <w:r w:rsidR="00137BC5">
              <w:rPr>
                <w:sz w:val="22"/>
              </w:rPr>
              <w:t>a</w:t>
            </w:r>
            <w:r w:rsidR="006C73CD" w:rsidRPr="00730CC1">
              <w:rPr>
                <w:sz w:val="22"/>
              </w:rPr>
              <w:t xml:space="preserve"> Fondo veiklas įgyvendinančioms organizacijoms.</w:t>
            </w:r>
            <w:r w:rsidR="002F1C3F" w:rsidRPr="00730CC1">
              <w:rPr>
                <w:sz w:val="22"/>
              </w:rPr>
              <w:t xml:space="preserve"> </w:t>
            </w:r>
          </w:p>
        </w:tc>
      </w:tr>
    </w:tbl>
    <w:p w14:paraId="4C7C6725" w14:textId="77777777" w:rsidR="004941E2" w:rsidRPr="00730CC1" w:rsidRDefault="004941E2" w:rsidP="00440F15">
      <w:pPr>
        <w:ind w:left="363"/>
        <w:jc w:val="both"/>
        <w:rPr>
          <w:rFonts w:eastAsia="Cambria" w:cs="Cambria"/>
        </w:rPr>
      </w:pPr>
    </w:p>
    <w:p w14:paraId="33DFA0A8" w14:textId="49F04F8C" w:rsidR="006C73CD" w:rsidRPr="00730CC1" w:rsidRDefault="006C73CD" w:rsidP="00440F15">
      <w:pPr>
        <w:ind w:left="363"/>
        <w:jc w:val="both"/>
        <w:rPr>
          <w:rFonts w:eastAsia="Cambria" w:cs="Cambria"/>
          <w:sz w:val="22"/>
        </w:rPr>
      </w:pPr>
      <w:r w:rsidRPr="00730CC1">
        <w:rPr>
          <w:rFonts w:eastAsia="Cambria" w:cs="Cambria"/>
          <w:sz w:val="22"/>
        </w:rPr>
        <w:t xml:space="preserve">Atsižvelgiant į tai, kad, vykdant VP lėšomis remiamas veiklas, </w:t>
      </w:r>
      <w:r w:rsidRPr="00730CC1">
        <w:rPr>
          <w:sz w:val="22"/>
        </w:rPr>
        <w:t xml:space="preserve">produktus ir prekes </w:t>
      </w:r>
      <w:r w:rsidRPr="00730CC1">
        <w:rPr>
          <w:rFonts w:eastAsia="Cambria" w:cs="Cambria"/>
          <w:sz w:val="22"/>
        </w:rPr>
        <w:t xml:space="preserve">viešųjų pirkimų būdu </w:t>
      </w:r>
      <w:r w:rsidRPr="00730CC1">
        <w:rPr>
          <w:sz w:val="22"/>
        </w:rPr>
        <w:t xml:space="preserve">centralizuotai įsigis viešojo sektoriaus organizacija, faktiškai patirtų ir apmokėtų finansuoti </w:t>
      </w:r>
      <w:r w:rsidR="00137BC5" w:rsidRPr="00730CC1">
        <w:rPr>
          <w:sz w:val="22"/>
        </w:rPr>
        <w:t xml:space="preserve">tinkamų </w:t>
      </w:r>
      <w:r w:rsidRPr="00730CC1">
        <w:rPr>
          <w:sz w:val="22"/>
        </w:rPr>
        <w:t xml:space="preserve">išlaidų kompensavimas yra tinkama ir efektyvi paramos paskirstymo forma, atitinkanti intervencijų pobūdį ir nesukurianti papildomos administracinės naštos </w:t>
      </w:r>
      <w:r w:rsidR="00AD2269" w:rsidRPr="00730CC1">
        <w:rPr>
          <w:sz w:val="22"/>
        </w:rPr>
        <w:t>VP administruojančioms institucijoms.</w:t>
      </w:r>
    </w:p>
    <w:p w14:paraId="59D22662" w14:textId="77777777" w:rsidR="00794F1C" w:rsidRPr="00730CC1" w:rsidRDefault="00794F1C" w:rsidP="00440F15">
      <w:pPr>
        <w:pStyle w:val="Default"/>
        <w:spacing w:line="276" w:lineRule="auto"/>
        <w:ind w:left="360"/>
        <w:jc w:val="both"/>
        <w:rPr>
          <w:rFonts w:asciiTheme="majorHAnsi" w:hAnsiTheme="majorHAnsi"/>
          <w:color w:val="036575" w:themeColor="accent5" w:themeTint="E6"/>
        </w:rPr>
      </w:pPr>
    </w:p>
    <w:p w14:paraId="7FD44D1F" w14:textId="44AA7CD8" w:rsidR="00A52582" w:rsidRPr="00730CC1" w:rsidRDefault="00AF1C3D" w:rsidP="000B63D3">
      <w:pPr>
        <w:pStyle w:val="Text"/>
        <w:numPr>
          <w:ilvl w:val="0"/>
          <w:numId w:val="21"/>
        </w:numPr>
        <w:rPr>
          <w:color w:val="036575" w:themeColor="accent5" w:themeTint="E6"/>
          <w:szCs w:val="24"/>
        </w:rPr>
      </w:pPr>
      <w:r w:rsidRPr="00730CC1">
        <w:rPr>
          <w:rFonts w:asciiTheme="majorHAnsi" w:hAnsiTheme="majorHAnsi"/>
          <w:color w:val="036575" w:themeColor="accent5" w:themeTint="E6"/>
          <w:szCs w:val="24"/>
        </w:rPr>
        <w:t>Ar veiksmų programos projekte aiškiai apibrėžti rodikliai stebėsenai ir vertinimui? Ar siekiami tikslai yra realistiški</w:t>
      </w:r>
      <w:r w:rsidR="00137BC5">
        <w:rPr>
          <w:rFonts w:asciiTheme="majorHAnsi" w:hAnsiTheme="majorHAnsi"/>
          <w:color w:val="036575" w:themeColor="accent5" w:themeTint="E6"/>
          <w:szCs w:val="24"/>
        </w:rPr>
        <w:t>,</w:t>
      </w:r>
      <w:r w:rsidRPr="00730CC1">
        <w:rPr>
          <w:rFonts w:asciiTheme="majorHAnsi" w:hAnsiTheme="majorHAnsi"/>
          <w:color w:val="036575" w:themeColor="accent5" w:themeTint="E6"/>
          <w:szCs w:val="24"/>
        </w:rPr>
        <w:t xml:space="preserve"> atsižvelgiant į numatomas intervencijas ir suplanuotą finansavimą?</w:t>
      </w:r>
    </w:p>
    <w:p w14:paraId="7ED5CCAA" w14:textId="39CA694B" w:rsidR="00794F1C" w:rsidRPr="00730CC1" w:rsidRDefault="00794F1C" w:rsidP="00794F1C">
      <w:pPr>
        <w:ind w:left="360"/>
        <w:jc w:val="both"/>
        <w:rPr>
          <w:rFonts w:eastAsia="Cambria" w:cs="Cambria"/>
          <w:sz w:val="22"/>
        </w:rPr>
      </w:pPr>
      <w:r w:rsidRPr="00730CC1">
        <w:rPr>
          <w:rFonts w:eastAsia="Cambria" w:cs="Cambria"/>
          <w:sz w:val="22"/>
        </w:rPr>
        <w:t>Kol nėra patvirtintas Europos Komisijos deleguotasis teisės aktas, kuriame turėtų būti apibrėžtos Fondo veiksmų programų įgyvendinimo</w:t>
      </w:r>
      <w:r w:rsidR="00851F15" w:rsidRPr="00730CC1">
        <w:rPr>
          <w:rFonts w:eastAsia="Cambria" w:cs="Cambria"/>
          <w:sz w:val="22"/>
        </w:rPr>
        <w:t xml:space="preserve"> ataskaitų rengimo ir teikimo</w:t>
      </w:r>
      <w:r w:rsidRPr="00730CC1">
        <w:rPr>
          <w:rFonts w:eastAsia="Cambria" w:cs="Cambria"/>
          <w:sz w:val="22"/>
        </w:rPr>
        <w:t xml:space="preserve"> nuostatos, tarp jų ir visoms šalims privalomi taikyti bendrieji stebėsenos rodikliai, veiksmų programos projekte yra nustatytas tik vienas stebėsenos rodiklis </w:t>
      </w:r>
      <w:r w:rsidR="00137BC5">
        <w:rPr>
          <w:rFonts w:eastAsia="Cambria" w:cs="Cambria"/>
          <w:sz w:val="22"/>
        </w:rPr>
        <w:t>–</w:t>
      </w:r>
      <w:r w:rsidRPr="00730CC1">
        <w:rPr>
          <w:rFonts w:eastAsia="Cambria" w:cs="Cambria"/>
          <w:sz w:val="22"/>
        </w:rPr>
        <w:t xml:space="preserve"> asmenų, gavusių Fondo finansuojamų projektų teikiamą paramą maisto produktais ir pagrindinio vartojimo prekėmis, skaičius. Tačiau VP projekte nėra detalizuojama, kaip šis rodiklis bus skaičiuojamas </w:t>
      </w:r>
      <w:r w:rsidR="00E92114">
        <w:rPr>
          <w:rFonts w:eastAsia="Cambria" w:cs="Cambria"/>
          <w:sz w:val="22"/>
        </w:rPr>
        <w:t>–</w:t>
      </w:r>
      <w:r w:rsidRPr="00730CC1">
        <w:rPr>
          <w:rFonts w:eastAsia="Cambria" w:cs="Cambria"/>
          <w:sz w:val="22"/>
        </w:rPr>
        <w:t xml:space="preserve"> individualūs paramą gavę asmenys ar bendra kiekybinė paramos gavėjų išraiška </w:t>
      </w:r>
      <w:r w:rsidR="00E92114">
        <w:rPr>
          <w:rFonts w:eastAsia="Cambria" w:cs="Cambria"/>
          <w:sz w:val="22"/>
        </w:rPr>
        <w:t>–</w:t>
      </w:r>
      <w:r w:rsidRPr="00730CC1">
        <w:rPr>
          <w:rFonts w:eastAsia="Cambria" w:cs="Cambria"/>
          <w:sz w:val="22"/>
        </w:rPr>
        <w:t xml:space="preserve"> taip pat</w:t>
      </w:r>
      <w:r w:rsidR="00E92114">
        <w:rPr>
          <w:rFonts w:eastAsia="Cambria" w:cs="Cambria"/>
          <w:sz w:val="22"/>
        </w:rPr>
        <w:t xml:space="preserve"> ir tai,</w:t>
      </w:r>
      <w:r w:rsidRPr="00730CC1">
        <w:rPr>
          <w:rFonts w:eastAsia="Cambria" w:cs="Cambria"/>
          <w:sz w:val="22"/>
        </w:rPr>
        <w:t xml:space="preserve"> kaip dažnai bus renkami duomenys. Nors yra suplanuota, kad per vieną dalinimą Fondo finansuojami paramos paketai pasieks iki 300 tūkst. žmonių, išlieka neaišku, kiek tokių dalinimų yra planuojama per metus bei per visą VP įgyvendinimo laikotarpį. Atsižvelgiant į finans</w:t>
      </w:r>
      <w:r w:rsidR="003A026B" w:rsidRPr="00730CC1">
        <w:rPr>
          <w:rFonts w:eastAsia="Cambria" w:cs="Cambria"/>
          <w:sz w:val="22"/>
        </w:rPr>
        <w:t xml:space="preserve">avimo pasiskirstymą tarp skirtingų Fondo remiamų veiklų </w:t>
      </w:r>
      <w:r w:rsidRPr="00730CC1">
        <w:rPr>
          <w:rFonts w:eastAsia="Cambria" w:cs="Cambria"/>
          <w:sz w:val="22"/>
        </w:rPr>
        <w:t xml:space="preserve">bei </w:t>
      </w:r>
      <w:r w:rsidR="00E92114">
        <w:rPr>
          <w:rFonts w:eastAsia="Cambria" w:cs="Cambria"/>
          <w:sz w:val="22"/>
        </w:rPr>
        <w:t xml:space="preserve">į </w:t>
      </w:r>
      <w:r w:rsidRPr="00730CC1">
        <w:rPr>
          <w:rFonts w:eastAsia="Cambria" w:cs="Cambria"/>
          <w:sz w:val="22"/>
        </w:rPr>
        <w:t>tai, kad 2014 m. parama pagrindinio vartojimo prekėmis nebuvo teikiama, turi būti naudojami atskiri rodikliai šių veiklų įgyvendinimo pažangai ir rezultatams stebėti.</w:t>
      </w:r>
    </w:p>
    <w:p w14:paraId="3348CAEE" w14:textId="77777777" w:rsidR="00851F15" w:rsidRPr="00730CC1" w:rsidRDefault="00851F15" w:rsidP="00794F1C">
      <w:pPr>
        <w:ind w:left="360"/>
        <w:jc w:val="both"/>
        <w:rPr>
          <w:rFonts w:eastAsia="Cambria" w:cs="Cambria"/>
        </w:rPr>
      </w:pPr>
    </w:p>
    <w:tbl>
      <w:tblPr>
        <w:tblStyle w:val="VPVILentele1"/>
        <w:tblW w:w="0" w:type="auto"/>
        <w:tblInd w:w="534" w:type="dxa"/>
        <w:tblLook w:val="04A0" w:firstRow="1" w:lastRow="0" w:firstColumn="1" w:lastColumn="0" w:noHBand="0" w:noVBand="1"/>
      </w:tblPr>
      <w:tblGrid>
        <w:gridCol w:w="9639"/>
      </w:tblGrid>
      <w:tr w:rsidR="00851F15" w:rsidRPr="00730CC1" w14:paraId="64C9AEA1" w14:textId="77777777" w:rsidTr="002B057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9" w:type="dxa"/>
          </w:tcPr>
          <w:p w14:paraId="6E76F609" w14:textId="4486C04F" w:rsidR="00851F15" w:rsidRPr="00730CC1" w:rsidRDefault="00851F15" w:rsidP="001B2584">
            <w:pPr>
              <w:jc w:val="both"/>
              <w:rPr>
                <w:sz w:val="22"/>
              </w:rPr>
            </w:pPr>
            <w:r w:rsidRPr="00730CC1">
              <w:rPr>
                <w:sz w:val="22"/>
              </w:rPr>
              <w:t>Atsižvelgta</w:t>
            </w:r>
            <w:r w:rsidR="00137BC5">
              <w:rPr>
                <w:sz w:val="22"/>
              </w:rPr>
              <w:t> </w:t>
            </w:r>
          </w:p>
        </w:tc>
      </w:tr>
      <w:tr w:rsidR="00851F15" w:rsidRPr="00730CC1" w14:paraId="507F00A6" w14:textId="77777777" w:rsidTr="002B0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14:paraId="283D3DF7" w14:textId="2A280E5C" w:rsidR="00851F15" w:rsidRPr="00730CC1" w:rsidRDefault="003B69F4" w:rsidP="00396D8A">
            <w:pPr>
              <w:jc w:val="both"/>
              <w:rPr>
                <w:sz w:val="22"/>
              </w:rPr>
            </w:pPr>
            <w:r>
              <w:rPr>
                <w:b/>
                <w:sz w:val="22"/>
              </w:rPr>
              <w:t>5</w:t>
            </w:r>
            <w:r w:rsidR="00396D8A" w:rsidRPr="00730CC1">
              <w:rPr>
                <w:b/>
                <w:sz w:val="22"/>
              </w:rPr>
              <w:t xml:space="preserve"> rekomendacija.</w:t>
            </w:r>
            <w:r w:rsidR="00396D8A" w:rsidRPr="00730CC1">
              <w:rPr>
                <w:sz w:val="22"/>
              </w:rPr>
              <w:t xml:space="preserve">  Kol nėra nustatyti bendrieji stebėsenos rodikliai, VP projekte siūloma naudoti atskirus stebėsenos rodiklius param</w:t>
            </w:r>
            <w:r w:rsidR="00E92114">
              <w:rPr>
                <w:sz w:val="22"/>
              </w:rPr>
              <w:t>ą</w:t>
            </w:r>
            <w:r w:rsidR="00396D8A" w:rsidRPr="00730CC1">
              <w:rPr>
                <w:sz w:val="22"/>
              </w:rPr>
              <w:t xml:space="preserve"> maisto produktais ir būtinojo vartoj</w:t>
            </w:r>
            <w:r w:rsidR="002B0576" w:rsidRPr="00730CC1">
              <w:rPr>
                <w:sz w:val="22"/>
              </w:rPr>
              <w:t>imo prekėmis gavusiems asmenims matuoti.</w:t>
            </w:r>
            <w:r w:rsidR="00396D8A" w:rsidRPr="00730CC1">
              <w:rPr>
                <w:sz w:val="22"/>
              </w:rPr>
              <w:t xml:space="preserve"> </w:t>
            </w:r>
            <w:r w:rsidR="00396D8A" w:rsidRPr="00EE6EE6">
              <w:rPr>
                <w:sz w:val="22"/>
              </w:rPr>
              <w:t>Nustatant siektinas reikšmes,</w:t>
            </w:r>
            <w:r w:rsidR="00396D8A" w:rsidRPr="00730CC1">
              <w:rPr>
                <w:sz w:val="22"/>
              </w:rPr>
              <w:t xml:space="preserve"> svarbu nurodyti planuojamą paramos dalinimų skaičių ir atsižvelgti į finansavimo pasiskirstymą tarp Fondo remiamų veiklų.</w:t>
            </w:r>
          </w:p>
        </w:tc>
      </w:tr>
    </w:tbl>
    <w:p w14:paraId="3BEFEFF8" w14:textId="77777777" w:rsidR="00794F1C" w:rsidRPr="00730CC1" w:rsidRDefault="00794F1C" w:rsidP="00794F1C">
      <w:pPr>
        <w:pStyle w:val="ListParagraph"/>
        <w:ind w:left="363"/>
        <w:rPr>
          <w:color w:val="036575" w:themeColor="accent5" w:themeTint="E6"/>
          <w:szCs w:val="24"/>
        </w:rPr>
      </w:pPr>
    </w:p>
    <w:p w14:paraId="4667729F" w14:textId="5C86046A" w:rsidR="00DF57DD" w:rsidRDefault="00396D8A" w:rsidP="008F552F">
      <w:pPr>
        <w:pStyle w:val="Text"/>
        <w:ind w:left="363"/>
        <w:rPr>
          <w:rFonts w:cs="Arial"/>
          <w:sz w:val="22"/>
        </w:rPr>
      </w:pPr>
      <w:r w:rsidRPr="00730CC1">
        <w:rPr>
          <w:rFonts w:cs="Arial"/>
          <w:sz w:val="22"/>
        </w:rPr>
        <w:t xml:space="preserve">Maisto iš intervencinių atsargų tiekimo labiausiai nepasiturintiems asmenims programos įgyvendinimo </w:t>
      </w:r>
      <w:r w:rsidR="00264D25" w:rsidRPr="00730CC1">
        <w:rPr>
          <w:rFonts w:cs="Arial"/>
          <w:sz w:val="22"/>
        </w:rPr>
        <w:t xml:space="preserve">2012 m. ir 2013 m. </w:t>
      </w:r>
      <w:r w:rsidRPr="00730CC1">
        <w:rPr>
          <w:rFonts w:cs="Arial"/>
          <w:sz w:val="22"/>
        </w:rPr>
        <w:t xml:space="preserve">duomenys rodo, kad siekiamas rezultatas – iki 300 tūkst. per vieną dalinimą paramą gavusių asmenų </w:t>
      </w:r>
      <w:r w:rsidR="00E92114">
        <w:rPr>
          <w:rFonts w:cs="Arial"/>
          <w:sz w:val="22"/>
        </w:rPr>
        <w:t xml:space="preserve">– </w:t>
      </w:r>
      <w:r w:rsidR="00DD00E8" w:rsidRPr="00730CC1">
        <w:rPr>
          <w:rFonts w:cs="Arial"/>
          <w:sz w:val="22"/>
        </w:rPr>
        <w:t>gali būti pasiektas ar</w:t>
      </w:r>
      <w:r w:rsidR="009C3D39" w:rsidRPr="00730CC1">
        <w:rPr>
          <w:rFonts w:cs="Arial"/>
          <w:sz w:val="22"/>
        </w:rPr>
        <w:t xml:space="preserve"> </w:t>
      </w:r>
      <w:r w:rsidR="00264D25" w:rsidRPr="00730CC1">
        <w:rPr>
          <w:rFonts w:cs="Arial"/>
          <w:sz w:val="22"/>
        </w:rPr>
        <w:t>net</w:t>
      </w:r>
      <w:r w:rsidR="00DD00E8" w:rsidRPr="00730CC1">
        <w:rPr>
          <w:rFonts w:cs="Arial"/>
          <w:sz w:val="22"/>
        </w:rPr>
        <w:t xml:space="preserve"> </w:t>
      </w:r>
      <w:r w:rsidR="00264D25" w:rsidRPr="00730CC1">
        <w:rPr>
          <w:rFonts w:cs="Arial"/>
          <w:sz w:val="22"/>
        </w:rPr>
        <w:t>viršijamas</w:t>
      </w:r>
      <w:r w:rsidR="009C3D39" w:rsidRPr="00730CC1">
        <w:rPr>
          <w:rFonts w:cs="Arial"/>
          <w:sz w:val="22"/>
        </w:rPr>
        <w:t xml:space="preserve">. </w:t>
      </w:r>
      <w:r w:rsidR="007F0983" w:rsidRPr="00730CC1">
        <w:rPr>
          <w:rFonts w:cs="Arial"/>
          <w:sz w:val="22"/>
        </w:rPr>
        <w:t>Tačiau finansavimo pakankamumas numatytiems rezultatams pasiekti priklausys tiek nuo dalinimų skaičiaus, tiek nuo per vieną dalinimą paskirstomo maisto produktų ir būtin</w:t>
      </w:r>
      <w:r w:rsidR="00DD00E8" w:rsidRPr="00730CC1">
        <w:rPr>
          <w:rFonts w:cs="Arial"/>
          <w:sz w:val="22"/>
        </w:rPr>
        <w:t>o</w:t>
      </w:r>
      <w:r w:rsidR="007F0983" w:rsidRPr="00730CC1">
        <w:rPr>
          <w:rFonts w:cs="Arial"/>
          <w:sz w:val="22"/>
        </w:rPr>
        <w:t>jo vartojimo prekių kiekio</w:t>
      </w:r>
      <w:r w:rsidR="007B1B84">
        <w:rPr>
          <w:rFonts w:cs="Arial"/>
          <w:sz w:val="22"/>
        </w:rPr>
        <w:t>.</w:t>
      </w:r>
    </w:p>
    <w:p w14:paraId="159ADD81" w14:textId="66C4994C" w:rsidR="00DD00E8" w:rsidRPr="00730CC1" w:rsidRDefault="00DD00E8" w:rsidP="008F552F">
      <w:pPr>
        <w:pStyle w:val="Text"/>
        <w:ind w:left="363"/>
        <w:rPr>
          <w:rFonts w:cs="Arial"/>
          <w:sz w:val="22"/>
        </w:rPr>
      </w:pPr>
      <w:r w:rsidRPr="00DF57DD">
        <w:rPr>
          <w:rFonts w:cs="Arial"/>
          <w:sz w:val="22"/>
        </w:rPr>
        <w:t>VĮ Lietuvos žemės ūkio ir maisto produktų rinkos reguliavimo agentūros (toliau –</w:t>
      </w:r>
      <w:r w:rsidR="00C56396" w:rsidRPr="00DF57DD">
        <w:rPr>
          <w:rFonts w:cs="Arial"/>
          <w:sz w:val="22"/>
        </w:rPr>
        <w:t xml:space="preserve"> </w:t>
      </w:r>
      <w:r w:rsidRPr="00DF57DD">
        <w:rPr>
          <w:rFonts w:cs="Arial"/>
          <w:sz w:val="22"/>
        </w:rPr>
        <w:t xml:space="preserve">Agentūra) turima patirtis, įgyvendinant Maisto iš intervencinių atsargų tiekimo labiausiai nepasiturintiems asmenims programą, rodo, kad Fondo remiamai pagalbai maisto produktais suplanuotas finansavimas yra pakankamas ir numatytas pasiekti rodiklis yra realistiškas, jei per metus būtų </w:t>
      </w:r>
      <w:r w:rsidRPr="005D34E8">
        <w:rPr>
          <w:rFonts w:cs="Arial"/>
          <w:sz w:val="22"/>
        </w:rPr>
        <w:t xml:space="preserve">organizuojama apie penkis maisto paketų dalinimus. </w:t>
      </w:r>
      <w:r w:rsidR="009C3D39" w:rsidRPr="005D34E8">
        <w:rPr>
          <w:rFonts w:cs="Arial"/>
          <w:sz w:val="22"/>
        </w:rPr>
        <w:t>Nors</w:t>
      </w:r>
      <w:r w:rsidR="009C3D39" w:rsidRPr="00730CC1">
        <w:rPr>
          <w:rFonts w:cs="Arial"/>
          <w:sz w:val="22"/>
        </w:rPr>
        <w:t xml:space="preserve"> produkto rodikliai šiuo metu nėra apibrėžti</w:t>
      </w:r>
      <w:r w:rsidR="007F0983" w:rsidRPr="00730CC1">
        <w:rPr>
          <w:rFonts w:cs="Arial"/>
          <w:sz w:val="22"/>
        </w:rPr>
        <w:t xml:space="preserve">, </w:t>
      </w:r>
      <w:r w:rsidRPr="00730CC1">
        <w:rPr>
          <w:rFonts w:cs="Arial"/>
          <w:sz w:val="22"/>
        </w:rPr>
        <w:t>A</w:t>
      </w:r>
      <w:r w:rsidR="007F0983" w:rsidRPr="00730CC1">
        <w:rPr>
          <w:rFonts w:cs="Arial"/>
          <w:sz w:val="22"/>
        </w:rPr>
        <w:t xml:space="preserve">gentūra, įgyvendindama pagalbos maisto produktais projektus, renka </w:t>
      </w:r>
      <w:r w:rsidR="002B0576" w:rsidRPr="00730CC1">
        <w:rPr>
          <w:rFonts w:cs="Arial"/>
          <w:sz w:val="22"/>
        </w:rPr>
        <w:t xml:space="preserve">tikslius </w:t>
      </w:r>
      <w:r w:rsidR="007F0983" w:rsidRPr="00730CC1">
        <w:rPr>
          <w:rFonts w:cs="Arial"/>
          <w:sz w:val="22"/>
        </w:rPr>
        <w:t xml:space="preserve">duomenis apie </w:t>
      </w:r>
      <w:r w:rsidR="002B0576" w:rsidRPr="00730CC1">
        <w:rPr>
          <w:rFonts w:cs="Arial"/>
          <w:sz w:val="22"/>
        </w:rPr>
        <w:t xml:space="preserve">partnerių organizacijoms pristatytus ir paskirstytus maisto produktų kiekius. </w:t>
      </w:r>
      <w:r w:rsidR="008F552F" w:rsidRPr="00730CC1">
        <w:rPr>
          <w:rFonts w:cs="Arial"/>
          <w:sz w:val="22"/>
        </w:rPr>
        <w:t xml:space="preserve">VP projekte planuojamos veiklos ir Fondo lėšomis sukurti produktai (įsigyti ir paskirstyti maisto produktai </w:t>
      </w:r>
      <w:r w:rsidR="00865806">
        <w:rPr>
          <w:rFonts w:cs="Arial"/>
          <w:sz w:val="22"/>
        </w:rPr>
        <w:t>bei</w:t>
      </w:r>
      <w:r w:rsidR="008F552F" w:rsidRPr="00730CC1">
        <w:rPr>
          <w:rFonts w:cs="Arial"/>
          <w:sz w:val="22"/>
        </w:rPr>
        <w:t xml:space="preserve"> būtin</w:t>
      </w:r>
      <w:r w:rsidR="00E92114">
        <w:rPr>
          <w:rFonts w:cs="Arial"/>
          <w:sz w:val="22"/>
        </w:rPr>
        <w:t>o</w:t>
      </w:r>
      <w:r w:rsidR="008F552F" w:rsidRPr="00730CC1">
        <w:rPr>
          <w:rFonts w:cs="Arial"/>
          <w:sz w:val="22"/>
        </w:rPr>
        <w:t xml:space="preserve">jo vartojimo prekės) tiesiogiai prisidės prie VP rezultato </w:t>
      </w:r>
      <w:r w:rsidR="00E92114">
        <w:rPr>
          <w:rFonts w:cs="Arial"/>
          <w:sz w:val="22"/>
        </w:rPr>
        <w:t>–</w:t>
      </w:r>
      <w:r w:rsidR="008F552F" w:rsidRPr="00730CC1">
        <w:rPr>
          <w:rFonts w:cs="Arial"/>
          <w:sz w:val="22"/>
        </w:rPr>
        <w:t xml:space="preserve"> pagalbą gaunančių labiausiai skurstančių asmenų siektinos reikšmės bei Fondo tikslo skatinti socialinę sanglaudą ir socialinę įtrauktį, teikiant nefi</w:t>
      </w:r>
      <w:r w:rsidR="00E92114">
        <w:rPr>
          <w:rFonts w:cs="Arial"/>
          <w:sz w:val="22"/>
        </w:rPr>
        <w:t>na</w:t>
      </w:r>
      <w:r w:rsidR="008F552F" w:rsidRPr="00730CC1">
        <w:rPr>
          <w:rFonts w:cs="Arial"/>
          <w:sz w:val="22"/>
        </w:rPr>
        <w:t xml:space="preserve">nsinę pagalba labiausiai skurstantiems asmenis ir </w:t>
      </w:r>
      <w:r w:rsidR="00E92114">
        <w:rPr>
          <w:rFonts w:cs="Arial"/>
          <w:sz w:val="22"/>
        </w:rPr>
        <w:t>tokiu būdu</w:t>
      </w:r>
      <w:r w:rsidR="008F552F" w:rsidRPr="00730CC1">
        <w:rPr>
          <w:rFonts w:cs="Arial"/>
          <w:sz w:val="22"/>
        </w:rPr>
        <w:t xml:space="preserve"> papildant ES struktūrinių fondų investicijas.</w:t>
      </w:r>
    </w:p>
    <w:p w14:paraId="1A55E696" w14:textId="3871A2F9" w:rsidR="00A52582" w:rsidRPr="00730CC1" w:rsidRDefault="00A52582" w:rsidP="000B63D3">
      <w:pPr>
        <w:pStyle w:val="Heading2"/>
        <w:numPr>
          <w:ilvl w:val="0"/>
          <w:numId w:val="6"/>
        </w:numPr>
        <w:rPr>
          <w:rStyle w:val="Heading1Char"/>
        </w:rPr>
      </w:pPr>
      <w:bookmarkStart w:id="5" w:name="_Toc393467607"/>
      <w:r w:rsidRPr="00730CC1">
        <w:rPr>
          <w:rStyle w:val="Heading1Char"/>
        </w:rPr>
        <w:lastRenderedPageBreak/>
        <w:t>VEIKSMŲ PROGRAMOS ĮGYVENDINIMO SISTEMA</w:t>
      </w:r>
      <w:bookmarkEnd w:id="5"/>
    </w:p>
    <w:p w14:paraId="598494BC" w14:textId="00AD9CD0" w:rsidR="00AF1C3D" w:rsidRPr="00730CC1" w:rsidRDefault="00AF1C3D" w:rsidP="000B63D3">
      <w:pPr>
        <w:pStyle w:val="Default"/>
        <w:numPr>
          <w:ilvl w:val="0"/>
          <w:numId w:val="21"/>
        </w:numPr>
        <w:spacing w:line="276" w:lineRule="auto"/>
        <w:jc w:val="both"/>
        <w:rPr>
          <w:rFonts w:asciiTheme="majorHAnsi" w:hAnsiTheme="majorHAnsi"/>
          <w:color w:val="036575" w:themeColor="accent5" w:themeTint="E6"/>
        </w:rPr>
      </w:pPr>
      <w:r w:rsidRPr="00730CC1">
        <w:rPr>
          <w:rFonts w:asciiTheme="majorHAnsi" w:hAnsiTheme="majorHAnsi"/>
          <w:color w:val="036575" w:themeColor="accent5" w:themeTint="E6"/>
        </w:rPr>
        <w:t xml:space="preserve">Ar veiksmų programos įgyvendinimo sistema ir procedūros yra tinkamos, siekiant užtikrinti rezultatyvų veiksmų programos įgyvendinimą? Ar pakankami žmogiškieji ištekliai ir institucijų bei paramos gavėjų administraciniai gebėjimai (ypač atsižvelgiant į tikslinę grupę)? Ar adekvatus planuojamas techninės paramos panaudojimas? </w:t>
      </w:r>
    </w:p>
    <w:p w14:paraId="3F68F883" w14:textId="77777777" w:rsidR="00596FDB" w:rsidRPr="00730CC1" w:rsidRDefault="00596FDB" w:rsidP="00596FDB">
      <w:pPr>
        <w:ind w:left="360"/>
        <w:rPr>
          <w:sz w:val="22"/>
        </w:rPr>
      </w:pPr>
    </w:p>
    <w:p w14:paraId="24169138" w14:textId="0AE112BC" w:rsidR="00615E37" w:rsidRPr="00730CC1" w:rsidRDefault="00596FDB" w:rsidP="00615E37">
      <w:pPr>
        <w:ind w:left="360"/>
        <w:jc w:val="both"/>
        <w:rPr>
          <w:sz w:val="22"/>
        </w:rPr>
      </w:pPr>
      <w:r w:rsidRPr="00730CC1">
        <w:rPr>
          <w:sz w:val="22"/>
        </w:rPr>
        <w:t>Pagrindinės inst</w:t>
      </w:r>
      <w:r w:rsidR="00996482" w:rsidRPr="00730CC1">
        <w:rPr>
          <w:sz w:val="22"/>
        </w:rPr>
        <w:t xml:space="preserve">itucijos, atsakingos už 2014–2020 m. iš </w:t>
      </w:r>
      <w:r w:rsidRPr="00730CC1">
        <w:rPr>
          <w:sz w:val="22"/>
        </w:rPr>
        <w:t>Europos pagalbos labiausia</w:t>
      </w:r>
      <w:r w:rsidR="007C74E8" w:rsidRPr="00730CC1">
        <w:rPr>
          <w:sz w:val="22"/>
        </w:rPr>
        <w:t>i</w:t>
      </w:r>
      <w:r w:rsidR="00996482" w:rsidRPr="00730CC1">
        <w:rPr>
          <w:sz w:val="22"/>
        </w:rPr>
        <w:t xml:space="preserve"> skurstantiems asmenims fondo skiriamą paramą</w:t>
      </w:r>
      <w:r w:rsidRPr="00730CC1">
        <w:rPr>
          <w:sz w:val="22"/>
        </w:rPr>
        <w:t>, yra LR socialinės apsaugos ir darbo ministerija (vadovaujanti ir audito institucija) ir Europos socialinio fondo agentūra (tarpinė</w:t>
      </w:r>
      <w:r w:rsidR="00615E37" w:rsidRPr="00730CC1">
        <w:rPr>
          <w:sz w:val="22"/>
        </w:rPr>
        <w:t xml:space="preserve"> ir tvirtinančioji</w:t>
      </w:r>
      <w:r w:rsidRPr="00730CC1">
        <w:rPr>
          <w:sz w:val="22"/>
        </w:rPr>
        <w:t xml:space="preserve"> institucija). </w:t>
      </w:r>
      <w:r w:rsidR="00615E37" w:rsidRPr="00730CC1">
        <w:rPr>
          <w:sz w:val="22"/>
        </w:rPr>
        <w:t>Abi šios institucijos turi patirties planuojant ir administruojant ES lėšomis finansuojamas intervencijas, taip pat ir skurdo mažinimo srityje. Dar VP rengimo laikotarpiu buvo</w:t>
      </w:r>
      <w:r w:rsidRPr="00730CC1">
        <w:rPr>
          <w:sz w:val="22"/>
        </w:rPr>
        <w:t xml:space="preserve"> patvirtinta </w:t>
      </w:r>
      <w:r w:rsidRPr="00730CC1">
        <w:rPr>
          <w:color w:val="000000"/>
          <w:sz w:val="22"/>
        </w:rPr>
        <w:t>2014–2020 metų iš Europos pagalbos labiausiai skurstantiems asmenims fondo lėšų planuojamų bendrai finansuoti valstyb</w:t>
      </w:r>
      <w:r w:rsidR="00615E37" w:rsidRPr="00730CC1">
        <w:rPr>
          <w:color w:val="000000"/>
          <w:sz w:val="22"/>
        </w:rPr>
        <w:t>ės projektų atrankos laikinoji</w:t>
      </w:r>
      <w:r w:rsidRPr="00730CC1">
        <w:rPr>
          <w:color w:val="000000"/>
          <w:sz w:val="22"/>
        </w:rPr>
        <w:t xml:space="preserve"> tvarka, kuri</w:t>
      </w:r>
      <w:r w:rsidR="00E92114">
        <w:rPr>
          <w:color w:val="000000"/>
          <w:sz w:val="22"/>
        </w:rPr>
        <w:t>a</w:t>
      </w:r>
      <w:r w:rsidRPr="00730CC1">
        <w:rPr>
          <w:color w:val="000000"/>
          <w:sz w:val="22"/>
        </w:rPr>
        <w:t xml:space="preserve"> nustato</w:t>
      </w:r>
      <w:r w:rsidR="00E92114">
        <w:rPr>
          <w:color w:val="000000"/>
          <w:sz w:val="22"/>
        </w:rPr>
        <w:t>ma</w:t>
      </w:r>
      <w:r w:rsidRPr="00730CC1">
        <w:rPr>
          <w:color w:val="000000"/>
          <w:sz w:val="22"/>
        </w:rPr>
        <w:t xml:space="preserve">, kaip atrenkami projektai iki to laiko, kai </w:t>
      </w:r>
      <w:r w:rsidRPr="00730CC1">
        <w:rPr>
          <w:sz w:val="22"/>
        </w:rPr>
        <w:t xml:space="preserve">įsigalios 2014–2020 metų Fondo panaudojimą reglamentuojantys ES ir nacionaliniai teisės aktai. Laikinoji tvarka buvo patvirtinta siekiant laiku pradėti viešųjų pirkimų procedūras ir užtikrinti iki 2013 m. pabaigos įgyvendintos </w:t>
      </w:r>
      <w:r w:rsidRPr="00730CC1">
        <w:rPr>
          <w:rFonts w:cs="Arial"/>
          <w:sz w:val="22"/>
        </w:rPr>
        <w:t xml:space="preserve">Maisto  iš intervencinių atsargų tiekimo labiausiai nepasiturintiems asmenims programos veiksmų tęstinumą. </w:t>
      </w:r>
      <w:r w:rsidR="00615E37" w:rsidRPr="00730CC1">
        <w:rPr>
          <w:rFonts w:cs="Arial"/>
          <w:sz w:val="22"/>
        </w:rPr>
        <w:t xml:space="preserve">Šie veiksmai rodo, kad VP projekte įvardytos institucijos, administruojančios </w:t>
      </w:r>
      <w:r w:rsidR="00615E37" w:rsidRPr="00730CC1">
        <w:rPr>
          <w:sz w:val="22"/>
        </w:rPr>
        <w:t>Europos pagalbos labiausiai skurstantiems asmenims fondo skiriamą paramą, turi administracinių gebėjimų užtikrinti tinkamą veiksmų programos įgyvendinimą.</w:t>
      </w:r>
    </w:p>
    <w:p w14:paraId="57C2B652" w14:textId="77777777" w:rsidR="00615E37" w:rsidRPr="00730CC1" w:rsidRDefault="00615E37" w:rsidP="00615E37">
      <w:pPr>
        <w:ind w:left="360"/>
        <w:jc w:val="both"/>
        <w:rPr>
          <w:sz w:val="22"/>
        </w:rPr>
      </w:pPr>
    </w:p>
    <w:p w14:paraId="73597E40" w14:textId="4A1AA84E" w:rsidR="00F0405A" w:rsidRPr="00730CC1" w:rsidRDefault="00615E37" w:rsidP="00615E37">
      <w:pPr>
        <w:ind w:left="360"/>
        <w:jc w:val="both"/>
        <w:rPr>
          <w:rFonts w:cs="Arial"/>
          <w:sz w:val="22"/>
        </w:rPr>
      </w:pPr>
      <w:r w:rsidRPr="00730CC1">
        <w:rPr>
          <w:rFonts w:cs="Arial"/>
          <w:sz w:val="22"/>
        </w:rPr>
        <w:t>Nors funkcijų ir atsakomybės pasiskirstymas tarp už VP įgyvendinimą atsakingų institucijų bus nustatytas tik patvirtinus veiksmų programą, jau VP rengimo etapu buvo suformuotas Stebėsenos komitetas</w:t>
      </w:r>
      <w:r w:rsidR="00201C93" w:rsidRPr="00730CC1">
        <w:rPr>
          <w:rStyle w:val="FootnoteReference"/>
          <w:rFonts w:cs="Arial"/>
          <w:sz w:val="22"/>
        </w:rPr>
        <w:footnoteReference w:id="23"/>
      </w:r>
      <w:r w:rsidR="00201C93" w:rsidRPr="00730CC1">
        <w:rPr>
          <w:rFonts w:cs="Arial"/>
          <w:sz w:val="22"/>
        </w:rPr>
        <w:t xml:space="preserve">, į kurio sudėtį buvo įtraukti valstybės institucijų, savivaldybių bei nevyriausybinių organizacijų, dirbančių skurdo mažinimo srityje, atstovai. Veiksmų programos įgyvendinimo metu Stebėsenos komitete planuojama svarstyti VP įgyvendinimo metines </w:t>
      </w:r>
      <w:r w:rsidR="00F0405A" w:rsidRPr="00730CC1">
        <w:rPr>
          <w:rFonts w:cs="Arial"/>
          <w:sz w:val="22"/>
        </w:rPr>
        <w:t>ir galutinę ataskaitas, projektų įgyvendinimo rezultatus, Stebėsenos komiteto nariai gal</w:t>
      </w:r>
      <w:r w:rsidR="003E176F">
        <w:rPr>
          <w:rFonts w:cs="Arial"/>
          <w:sz w:val="22"/>
        </w:rPr>
        <w:t>ės</w:t>
      </w:r>
      <w:r w:rsidR="00F0405A" w:rsidRPr="00730CC1">
        <w:rPr>
          <w:rFonts w:cs="Arial"/>
          <w:sz w:val="22"/>
        </w:rPr>
        <w:t xml:space="preserve"> teikti pasiūlymus dėl VP įgyvendinimo tobulinimo. Tokiu būdu bus siekiama užtikrinti rezultatyvų veiksmų programos įgyvendinimą ir Fondo tikslų pasiekimą. </w:t>
      </w:r>
    </w:p>
    <w:p w14:paraId="7118678B" w14:textId="77777777" w:rsidR="00F0405A" w:rsidRPr="00730CC1" w:rsidRDefault="00F0405A" w:rsidP="00615E37">
      <w:pPr>
        <w:ind w:left="360"/>
        <w:jc w:val="both"/>
        <w:rPr>
          <w:rFonts w:cs="Arial"/>
          <w:sz w:val="22"/>
        </w:rPr>
      </w:pPr>
    </w:p>
    <w:p w14:paraId="2332D295" w14:textId="1F39EA21" w:rsidR="00615E37" w:rsidRPr="00730CC1" w:rsidRDefault="00F0405A" w:rsidP="00615E37">
      <w:pPr>
        <w:ind w:left="360"/>
        <w:jc w:val="both"/>
        <w:rPr>
          <w:rFonts w:cs="Arial"/>
          <w:sz w:val="22"/>
        </w:rPr>
      </w:pPr>
      <w:r w:rsidRPr="00730CC1">
        <w:rPr>
          <w:rFonts w:cs="Arial"/>
          <w:sz w:val="22"/>
        </w:rPr>
        <w:t xml:space="preserve">Tačiau tam, kad Stebėsenos komitetas tinkamai atliktų savo funkcijas, jam turi būti pateikiama aktuali ir patikima VP įgyvendinimo stebėsenos informacija. Veiksmų programos projekte nėra pateikiama informacija apie tai, kokia institucija bus atsakinga už </w:t>
      </w:r>
      <w:r w:rsidR="002F1C3F" w:rsidRPr="00730CC1">
        <w:rPr>
          <w:rFonts w:cs="Arial"/>
          <w:sz w:val="22"/>
        </w:rPr>
        <w:t>stebėsenos duomenų rinkimą ir kokiu būdu jis bus vykdomas. Įgyvendinant Maisto iš intervencinių atsargų tiekimo labiausiai nepasiturintiems asmenims programą ir 2014 m. iš Fondo planuojam</w:t>
      </w:r>
      <w:r w:rsidR="003E176F">
        <w:rPr>
          <w:rFonts w:cs="Arial"/>
          <w:sz w:val="22"/>
        </w:rPr>
        <w:t>ą</w:t>
      </w:r>
      <w:r w:rsidR="002F1C3F" w:rsidRPr="00730CC1">
        <w:rPr>
          <w:rFonts w:cs="Arial"/>
          <w:sz w:val="22"/>
        </w:rPr>
        <w:t xml:space="preserve"> bendra</w:t>
      </w:r>
      <w:r w:rsidR="004705D2">
        <w:rPr>
          <w:rFonts w:cs="Arial"/>
          <w:sz w:val="22"/>
        </w:rPr>
        <w:t xml:space="preserve">i </w:t>
      </w:r>
      <w:r w:rsidR="002F1C3F" w:rsidRPr="00730CC1">
        <w:rPr>
          <w:rFonts w:cs="Arial"/>
          <w:sz w:val="22"/>
        </w:rPr>
        <w:t>finansuoti projektą, didžiąją dalį informacijos apie projekto veiklų įgyvendinimą</w:t>
      </w:r>
      <w:r w:rsidR="004705D2">
        <w:rPr>
          <w:rFonts w:cs="Arial"/>
          <w:sz w:val="22"/>
        </w:rPr>
        <w:t>, remdamasis</w:t>
      </w:r>
      <w:r w:rsidR="002F1C3F" w:rsidRPr="00730CC1">
        <w:rPr>
          <w:rFonts w:cs="Arial"/>
          <w:sz w:val="22"/>
        </w:rPr>
        <w:t xml:space="preserve"> partnerių organizacijų pateikt</w:t>
      </w:r>
      <w:r w:rsidR="004705D2">
        <w:rPr>
          <w:rFonts w:cs="Arial"/>
          <w:sz w:val="22"/>
        </w:rPr>
        <w:t>a</w:t>
      </w:r>
      <w:r w:rsidR="002F1C3F" w:rsidRPr="00730CC1">
        <w:rPr>
          <w:rFonts w:cs="Arial"/>
          <w:sz w:val="22"/>
        </w:rPr>
        <w:t xml:space="preserve"> informacij</w:t>
      </w:r>
      <w:r w:rsidR="004705D2">
        <w:rPr>
          <w:rFonts w:cs="Arial"/>
          <w:sz w:val="22"/>
        </w:rPr>
        <w:t>a,</w:t>
      </w:r>
      <w:r w:rsidR="002F1C3F" w:rsidRPr="00730CC1">
        <w:rPr>
          <w:rFonts w:cs="Arial"/>
          <w:sz w:val="22"/>
        </w:rPr>
        <w:t xml:space="preserve"> kaupia projekto vykdytojas, kuris šią informaciją kartu su mokėjimo prašymais teikia </w:t>
      </w:r>
      <w:r w:rsidR="002F1C3F" w:rsidRPr="00730CC1">
        <w:rPr>
          <w:rFonts w:cs="Arial"/>
          <w:sz w:val="22"/>
        </w:rPr>
        <w:lastRenderedPageBreak/>
        <w:t xml:space="preserve">atsakingai institucijai. Atsižvelgiant į finansavimo apimtis ir EK planuojamus patvirtinti bendruosius stebėsenos rodiklius, ateityje toks stebėsenos duomenų rinkimas ir saugojimas, neturint tam pritaikytos informacinės sistemos, bus sudėtingas ir </w:t>
      </w:r>
      <w:r w:rsidR="004705D2">
        <w:rPr>
          <w:rFonts w:cs="Arial"/>
          <w:sz w:val="22"/>
        </w:rPr>
        <w:t>smarkiai</w:t>
      </w:r>
      <w:r w:rsidR="002F1C3F" w:rsidRPr="00730CC1">
        <w:rPr>
          <w:rFonts w:cs="Arial"/>
          <w:sz w:val="22"/>
        </w:rPr>
        <w:t xml:space="preserve"> padidins administracinę naštą tiek projekto vykdytojui ir  partnerių organizacijoms, tiek institucijai, kuriai bus atsiskaitoma už projekto įgyvendinimo metu patirtas išlaidas ir pasiektus rezultatus.</w:t>
      </w:r>
    </w:p>
    <w:p w14:paraId="53A44B56" w14:textId="77777777" w:rsidR="00F0405A" w:rsidRPr="00730CC1" w:rsidRDefault="00F0405A" w:rsidP="00615E37">
      <w:pPr>
        <w:ind w:left="360"/>
        <w:jc w:val="both"/>
        <w:rPr>
          <w:rFonts w:cs="Arial"/>
          <w:sz w:val="22"/>
        </w:rPr>
      </w:pPr>
    </w:p>
    <w:tbl>
      <w:tblPr>
        <w:tblStyle w:val="VPVILentele1"/>
        <w:tblW w:w="0" w:type="auto"/>
        <w:tblInd w:w="534" w:type="dxa"/>
        <w:tblLook w:val="04A0" w:firstRow="1" w:lastRow="0" w:firstColumn="1" w:lastColumn="0" w:noHBand="0" w:noVBand="1"/>
      </w:tblPr>
      <w:tblGrid>
        <w:gridCol w:w="9639"/>
      </w:tblGrid>
      <w:tr w:rsidR="002F1C3F" w:rsidRPr="00730CC1" w14:paraId="0D33C77B" w14:textId="77777777" w:rsidTr="00FB736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9" w:type="dxa"/>
          </w:tcPr>
          <w:p w14:paraId="57706086" w14:textId="35B82BCE" w:rsidR="002F1C3F" w:rsidRPr="00730CC1" w:rsidRDefault="002F1C3F" w:rsidP="001B2584">
            <w:pPr>
              <w:jc w:val="both"/>
              <w:rPr>
                <w:sz w:val="22"/>
              </w:rPr>
            </w:pPr>
            <w:r w:rsidRPr="00730CC1">
              <w:rPr>
                <w:sz w:val="22"/>
              </w:rPr>
              <w:t>Atsižvelgta</w:t>
            </w:r>
            <w:r w:rsidR="00C56396">
              <w:rPr>
                <w:sz w:val="22"/>
              </w:rPr>
              <w:t> </w:t>
            </w:r>
          </w:p>
        </w:tc>
      </w:tr>
      <w:tr w:rsidR="002F1C3F" w:rsidRPr="00730CC1" w14:paraId="235A0294" w14:textId="77777777" w:rsidTr="00FB7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14:paraId="16786226" w14:textId="5DBBB8BC" w:rsidR="002F1C3F" w:rsidRPr="00730CC1" w:rsidRDefault="003B69F4" w:rsidP="002F1C3F">
            <w:pPr>
              <w:jc w:val="both"/>
              <w:rPr>
                <w:sz w:val="22"/>
              </w:rPr>
            </w:pPr>
            <w:r>
              <w:rPr>
                <w:b/>
                <w:sz w:val="22"/>
              </w:rPr>
              <w:t>6</w:t>
            </w:r>
            <w:r w:rsidR="002F1C3F" w:rsidRPr="00730CC1">
              <w:rPr>
                <w:b/>
                <w:sz w:val="22"/>
              </w:rPr>
              <w:t xml:space="preserve"> rekomendacija.</w:t>
            </w:r>
            <w:r w:rsidR="002F1C3F" w:rsidRPr="00730CC1">
              <w:rPr>
                <w:sz w:val="22"/>
              </w:rPr>
              <w:t xml:space="preserve">  </w:t>
            </w:r>
            <w:r w:rsidR="00276582" w:rsidRPr="00730CC1">
              <w:rPr>
                <w:sz w:val="22"/>
              </w:rPr>
              <w:t>Atsižvelgiant į VP veiklų apimtis ir planuojamus taikyti bendruosius rodiklius, VP projekte numatyti galimybę įdiegti informacinę VP įgyvendinimo stebėsenos sistemą, kuria galėtų naudotis tiek Fondo paramą administruojančios institucijos, tiek projekto vykdytojas ir partneriai, teikdami duomenis apie projektų įgyvendinimą ir rezultatus.</w:t>
            </w:r>
            <w:r w:rsidR="00ED5778" w:rsidRPr="00730CC1">
              <w:rPr>
                <w:sz w:val="22"/>
              </w:rPr>
              <w:t xml:space="preserve"> Tokios informacinės sistemos kūrimas gali būti finansuojamas iš techninės paramos lėšų.</w:t>
            </w:r>
          </w:p>
        </w:tc>
      </w:tr>
    </w:tbl>
    <w:p w14:paraId="422F7083" w14:textId="77777777" w:rsidR="00615E37" w:rsidRPr="00730CC1" w:rsidRDefault="00615E37" w:rsidP="00615E37">
      <w:pPr>
        <w:ind w:left="360"/>
        <w:jc w:val="both"/>
        <w:rPr>
          <w:rFonts w:cs="Arial"/>
          <w:sz w:val="22"/>
        </w:rPr>
      </w:pPr>
    </w:p>
    <w:p w14:paraId="556C772B" w14:textId="50B18725" w:rsidR="00276582" w:rsidRPr="00730CC1" w:rsidRDefault="00276582" w:rsidP="00615E37">
      <w:pPr>
        <w:ind w:left="360"/>
        <w:jc w:val="both"/>
        <w:rPr>
          <w:rFonts w:cs="Arial"/>
          <w:sz w:val="22"/>
        </w:rPr>
      </w:pPr>
      <w:r w:rsidRPr="00730CC1">
        <w:rPr>
          <w:rFonts w:cs="Arial"/>
          <w:sz w:val="22"/>
        </w:rPr>
        <w:t>Veiksmų programos projekte yra numatyta, kad einamasis VP įgyvendinimo vertinimas nebus atliekamas, tačiau</w:t>
      </w:r>
      <w:r w:rsidR="00262904">
        <w:rPr>
          <w:rFonts w:cs="Arial"/>
          <w:sz w:val="22"/>
        </w:rPr>
        <w:t>,</w:t>
      </w:r>
      <w:r w:rsidRPr="00730CC1">
        <w:rPr>
          <w:rFonts w:cs="Arial"/>
          <w:sz w:val="22"/>
        </w:rPr>
        <w:t xml:space="preserve"> laikydamasi Reglamento nuostatų, 2017 m. ir 2022 m. vadovaujanti institucija turės atlikti struktūruotas galutinių paramos gavėjų apklausas pagal EK patvirtintą formą. Šios apklausos galėtų suteikti papildomos informacijos apie įgyvendinamų veiklų tinkamumą, efektyvumą ir rezultatyvumą, todėl jų rezultatai šalia stebėsenos duomenų galės būti naudojami VP įgyvendinimui tobulinti.</w:t>
      </w:r>
    </w:p>
    <w:p w14:paraId="3D2496CC" w14:textId="77777777" w:rsidR="00276582" w:rsidRPr="00730CC1" w:rsidRDefault="00276582" w:rsidP="00615E37">
      <w:pPr>
        <w:ind w:left="360"/>
        <w:jc w:val="both"/>
        <w:rPr>
          <w:rFonts w:cs="Arial"/>
          <w:sz w:val="22"/>
        </w:rPr>
      </w:pPr>
    </w:p>
    <w:tbl>
      <w:tblPr>
        <w:tblStyle w:val="VPVILentele1"/>
        <w:tblW w:w="0" w:type="auto"/>
        <w:tblInd w:w="534" w:type="dxa"/>
        <w:tblLook w:val="04A0" w:firstRow="1" w:lastRow="0" w:firstColumn="1" w:lastColumn="0" w:noHBand="0" w:noVBand="1"/>
      </w:tblPr>
      <w:tblGrid>
        <w:gridCol w:w="9639"/>
      </w:tblGrid>
      <w:tr w:rsidR="00276582" w:rsidRPr="00730CC1" w14:paraId="10914B56" w14:textId="77777777" w:rsidTr="00FB736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9" w:type="dxa"/>
          </w:tcPr>
          <w:p w14:paraId="1F54BADC" w14:textId="563CD0B3" w:rsidR="00276582" w:rsidRPr="00730CC1" w:rsidRDefault="00276582" w:rsidP="001B2584">
            <w:pPr>
              <w:jc w:val="both"/>
              <w:rPr>
                <w:sz w:val="22"/>
              </w:rPr>
            </w:pPr>
            <w:r w:rsidRPr="00730CC1">
              <w:rPr>
                <w:sz w:val="22"/>
              </w:rPr>
              <w:t>Atsižvelgta</w:t>
            </w:r>
            <w:r w:rsidR="00C56396">
              <w:rPr>
                <w:sz w:val="22"/>
              </w:rPr>
              <w:t> </w:t>
            </w:r>
          </w:p>
        </w:tc>
      </w:tr>
      <w:tr w:rsidR="00276582" w:rsidRPr="00730CC1" w14:paraId="7E74FF9F" w14:textId="77777777" w:rsidTr="00FB7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14:paraId="3103EBAC" w14:textId="05AAF1EC" w:rsidR="00276582" w:rsidRPr="00730CC1" w:rsidRDefault="003B69F4" w:rsidP="00276582">
            <w:pPr>
              <w:jc w:val="both"/>
              <w:rPr>
                <w:sz w:val="22"/>
              </w:rPr>
            </w:pPr>
            <w:r>
              <w:rPr>
                <w:b/>
                <w:sz w:val="22"/>
              </w:rPr>
              <w:t>7</w:t>
            </w:r>
            <w:r w:rsidR="00276582" w:rsidRPr="00730CC1">
              <w:rPr>
                <w:b/>
                <w:sz w:val="22"/>
              </w:rPr>
              <w:t xml:space="preserve"> rekomendacija.</w:t>
            </w:r>
            <w:r w:rsidR="00276582" w:rsidRPr="00730CC1">
              <w:rPr>
                <w:sz w:val="22"/>
              </w:rPr>
              <w:t xml:space="preserve">  VP tekste, aprašant programos įgyvendinimo stebėsenos ir vertinimo</w:t>
            </w:r>
            <w:r w:rsidR="00ED5778" w:rsidRPr="00730CC1">
              <w:rPr>
                <w:sz w:val="22"/>
              </w:rPr>
              <w:t xml:space="preserve"> sistemą</w:t>
            </w:r>
            <w:r w:rsidR="004705D2">
              <w:rPr>
                <w:sz w:val="22"/>
              </w:rPr>
              <w:t>,</w:t>
            </w:r>
            <w:r w:rsidR="00276582" w:rsidRPr="00730CC1">
              <w:rPr>
                <w:sz w:val="22"/>
              </w:rPr>
              <w:t xml:space="preserve"> nurodyti, kad </w:t>
            </w:r>
            <w:r w:rsidR="00ED5778" w:rsidRPr="00730CC1">
              <w:rPr>
                <w:sz w:val="22"/>
              </w:rPr>
              <w:t>vadovaujanti institucija pagal EK patvirtintą šabloną atliks galutinių paramos gavėjų apklausas, kurių rezultatai svarstomi Stebėsenos komitete ir panaudojami VP įgyvendinimo rezultatyvumui padidinti.</w:t>
            </w:r>
          </w:p>
        </w:tc>
      </w:tr>
    </w:tbl>
    <w:p w14:paraId="3FB9D259" w14:textId="77777777" w:rsidR="00276582" w:rsidRPr="00730CC1" w:rsidRDefault="00276582" w:rsidP="00ED5778">
      <w:pPr>
        <w:jc w:val="both"/>
        <w:rPr>
          <w:rFonts w:cs="Arial"/>
          <w:sz w:val="22"/>
        </w:rPr>
      </w:pPr>
    </w:p>
    <w:p w14:paraId="540CB8CA" w14:textId="37168434" w:rsidR="00615E37" w:rsidRPr="00730CC1" w:rsidRDefault="00F0405A" w:rsidP="005D03B1">
      <w:pPr>
        <w:ind w:left="360"/>
        <w:jc w:val="both"/>
        <w:rPr>
          <w:rFonts w:cs="Arial"/>
          <w:sz w:val="22"/>
        </w:rPr>
      </w:pPr>
      <w:r w:rsidRPr="003E176F">
        <w:rPr>
          <w:rFonts w:cs="Arial"/>
          <w:sz w:val="22"/>
        </w:rPr>
        <w:t>Nors pagrindinės už VP įgyvendinimą atsakingos institucijos turi nemažai patirties, administruojant kitas ES lėšomis finansuojamas priemones, Europos pagalbos labiausiai skurstantiems asmenims fondo veiksmų programos įgyvendinimas reikalauj</w:t>
      </w:r>
      <w:r w:rsidR="00ED5778" w:rsidRPr="003E176F">
        <w:rPr>
          <w:rFonts w:cs="Arial"/>
          <w:sz w:val="22"/>
        </w:rPr>
        <w:t>a papildomų žmogiškųjų išteklių</w:t>
      </w:r>
      <w:r w:rsidRPr="003E176F">
        <w:rPr>
          <w:rFonts w:cs="Arial"/>
          <w:sz w:val="22"/>
        </w:rPr>
        <w:t xml:space="preserve"> tiesioginėms su VP įgyvendinimu susijusioms veikloms vykdyti.</w:t>
      </w:r>
      <w:r w:rsidR="00ED5778" w:rsidRPr="00730CC1">
        <w:rPr>
          <w:rFonts w:cs="Arial"/>
          <w:sz w:val="22"/>
        </w:rPr>
        <w:t xml:space="preserve"> Savo ruožtu projekto vykdytojo ir partnerių organizacijoms</w:t>
      </w:r>
      <w:r w:rsidR="007C79AC" w:rsidRPr="00730CC1">
        <w:rPr>
          <w:rFonts w:cs="Arial"/>
          <w:sz w:val="22"/>
        </w:rPr>
        <w:t xml:space="preserve"> gali trūkti tiek administracinių gebėjimų, tiek žmogiškųjų išteklių Fondo veikloms administruoti ir vykdyti. Daliai savivaldybių Fondo remiamų veiklų įgyvendinimas yra visiškai nauja funkcija, kurią anksčiau įgyvendino nevyriausybinė organizacija „Lietuvos Caritas“</w:t>
      </w:r>
      <w:r w:rsidR="004705D2">
        <w:rPr>
          <w:rFonts w:cs="Arial"/>
          <w:sz w:val="22"/>
        </w:rPr>
        <w:t>,</w:t>
      </w:r>
      <w:r w:rsidR="005D03B1" w:rsidRPr="00730CC1">
        <w:rPr>
          <w:rFonts w:cs="Arial"/>
          <w:sz w:val="22"/>
        </w:rPr>
        <w:t xml:space="preserve"> šiuo metu nedalyvaujanti teikiant paramą maisto produktais labiausiai nepasiturintiems asmenims</w:t>
      </w:r>
      <w:r w:rsidR="00685826" w:rsidRPr="00730CC1">
        <w:rPr>
          <w:rStyle w:val="FootnoteReference"/>
          <w:rFonts w:cs="Arial"/>
          <w:sz w:val="22"/>
        </w:rPr>
        <w:footnoteReference w:id="24"/>
      </w:r>
      <w:r w:rsidR="005D03B1" w:rsidRPr="00730CC1">
        <w:rPr>
          <w:rFonts w:cs="Arial"/>
          <w:sz w:val="22"/>
        </w:rPr>
        <w:t>. Tad savivaldybės susiduria tiek su nenumatytų sąnaudų Fondo remiam</w:t>
      </w:r>
      <w:r w:rsidR="004705D2">
        <w:rPr>
          <w:rFonts w:cs="Arial"/>
          <w:sz w:val="22"/>
        </w:rPr>
        <w:t>oms</w:t>
      </w:r>
      <w:r w:rsidR="005D03B1" w:rsidRPr="00730CC1">
        <w:rPr>
          <w:rFonts w:cs="Arial"/>
          <w:sz w:val="22"/>
        </w:rPr>
        <w:t xml:space="preserve"> veikl</w:t>
      </w:r>
      <w:r w:rsidR="004705D2">
        <w:rPr>
          <w:rFonts w:cs="Arial"/>
          <w:sz w:val="22"/>
        </w:rPr>
        <w:t>oms</w:t>
      </w:r>
      <w:r w:rsidR="005D03B1" w:rsidRPr="00730CC1">
        <w:rPr>
          <w:rFonts w:cs="Arial"/>
          <w:sz w:val="22"/>
        </w:rPr>
        <w:t xml:space="preserve"> administr</w:t>
      </w:r>
      <w:r w:rsidR="004705D2">
        <w:rPr>
          <w:rFonts w:cs="Arial"/>
          <w:sz w:val="22"/>
        </w:rPr>
        <w:t>uoti</w:t>
      </w:r>
      <w:r w:rsidR="005D03B1" w:rsidRPr="00730CC1">
        <w:rPr>
          <w:rStyle w:val="FootnoteReference"/>
          <w:rFonts w:cs="Arial"/>
          <w:sz w:val="22"/>
        </w:rPr>
        <w:footnoteReference w:id="25"/>
      </w:r>
      <w:r w:rsidR="005D03B1" w:rsidRPr="00730CC1">
        <w:rPr>
          <w:rFonts w:cs="Arial"/>
          <w:sz w:val="22"/>
        </w:rPr>
        <w:t xml:space="preserve">, tiek su žmogiškųjų pajėgumų administruoti teikiamą paramą stokos problemomis. </w:t>
      </w:r>
      <w:r w:rsidR="005D03B1" w:rsidRPr="006C3015">
        <w:rPr>
          <w:rFonts w:cs="Arial"/>
          <w:sz w:val="22"/>
        </w:rPr>
        <w:t>Atsižvelgiant į egzistuojančias administracinių gebėjimų spragas,</w:t>
      </w:r>
      <w:r w:rsidR="00ED5778" w:rsidRPr="006C3015">
        <w:rPr>
          <w:rFonts w:cs="Arial"/>
          <w:sz w:val="22"/>
        </w:rPr>
        <w:t xml:space="preserve"> VP projekte numatytos iš techninės paramos lėšų finansuoti tinkamos išlaidos</w:t>
      </w:r>
      <w:r w:rsidR="007C79AC" w:rsidRPr="006C3015">
        <w:rPr>
          <w:rFonts w:cs="Arial"/>
          <w:sz w:val="22"/>
        </w:rPr>
        <w:t xml:space="preserve">, tarp kurių </w:t>
      </w:r>
      <w:r w:rsidR="006C3015">
        <w:rPr>
          <w:rFonts w:cs="Arial"/>
          <w:sz w:val="22"/>
        </w:rPr>
        <w:t>yra</w:t>
      </w:r>
      <w:r w:rsidR="007C79AC" w:rsidRPr="006C3015">
        <w:rPr>
          <w:rFonts w:cs="Arial"/>
          <w:sz w:val="22"/>
        </w:rPr>
        <w:t xml:space="preserve"> ir išlaidos atlyginimams, darbuotojų įgūdžių tobulinimui ir </w:t>
      </w:r>
      <w:r w:rsidR="007C79AC" w:rsidRPr="006C3015">
        <w:rPr>
          <w:rFonts w:cs="Arial"/>
          <w:sz w:val="22"/>
        </w:rPr>
        <w:lastRenderedPageBreak/>
        <w:t>partnerių organizacijų stiprinimui,</w:t>
      </w:r>
      <w:r w:rsidR="00ED5778" w:rsidRPr="006C3015">
        <w:rPr>
          <w:rFonts w:cs="Arial"/>
          <w:sz w:val="22"/>
        </w:rPr>
        <w:t xml:space="preserve"> atitinka</w:t>
      </w:r>
      <w:r w:rsidR="007C79AC" w:rsidRPr="006C3015">
        <w:rPr>
          <w:rFonts w:cs="Arial"/>
          <w:sz w:val="22"/>
        </w:rPr>
        <w:t xml:space="preserve"> administracinių gebėjimų ir žmogiškųjų išteklių pajėgumų stiprinimo poreikius ir sudaro prielaidas efektyviai įgyvendinti Veiksmų programą.</w:t>
      </w:r>
    </w:p>
    <w:p w14:paraId="40E87F70" w14:textId="77777777" w:rsidR="00794F1C" w:rsidRPr="00730CC1" w:rsidRDefault="00794F1C" w:rsidP="00ED5778">
      <w:pPr>
        <w:pStyle w:val="Default"/>
        <w:jc w:val="both"/>
        <w:rPr>
          <w:rFonts w:asciiTheme="majorHAnsi" w:hAnsiTheme="majorHAnsi"/>
          <w:color w:val="036575" w:themeColor="accent5" w:themeTint="E6"/>
        </w:rPr>
      </w:pPr>
    </w:p>
    <w:p w14:paraId="48579D96" w14:textId="0A67A8C2" w:rsidR="00A52582" w:rsidRPr="00730CC1" w:rsidRDefault="00AF1C3D" w:rsidP="000B63D3">
      <w:pPr>
        <w:pStyle w:val="Text"/>
        <w:numPr>
          <w:ilvl w:val="0"/>
          <w:numId w:val="21"/>
        </w:numPr>
        <w:rPr>
          <w:color w:val="036575" w:themeColor="accent5" w:themeTint="E6"/>
          <w:szCs w:val="24"/>
        </w:rPr>
      </w:pPr>
      <w:r w:rsidRPr="00730CC1">
        <w:rPr>
          <w:rFonts w:asciiTheme="majorHAnsi" w:hAnsiTheme="majorHAnsi"/>
          <w:color w:val="036575" w:themeColor="accent5" w:themeTint="E6"/>
          <w:szCs w:val="24"/>
        </w:rPr>
        <w:t>Kokia yra administracinė našta pareiškėjams, teikiant paraišką paramai gauti? Kokiais būdais administracinė našta pareiškėjams ir paramos gavėjams gali būti sumažinta ateityje (jeigu būtina)?</w:t>
      </w:r>
    </w:p>
    <w:p w14:paraId="511BB479" w14:textId="35033888" w:rsidR="003E1A46" w:rsidRPr="00730CC1" w:rsidRDefault="00685826" w:rsidP="005D03B1">
      <w:pPr>
        <w:pStyle w:val="Text"/>
        <w:ind w:left="360"/>
        <w:rPr>
          <w:sz w:val="22"/>
        </w:rPr>
      </w:pPr>
      <w:r w:rsidRPr="00730CC1">
        <w:rPr>
          <w:rFonts w:eastAsia="Cambria" w:cs="Cambria"/>
          <w:sz w:val="22"/>
        </w:rPr>
        <w:t xml:space="preserve">Planuojama, kad vykdant VP lėšomis remiamas veiklas, </w:t>
      </w:r>
      <w:r w:rsidRPr="00730CC1">
        <w:rPr>
          <w:sz w:val="22"/>
        </w:rPr>
        <w:t xml:space="preserve">produktus ir prekes </w:t>
      </w:r>
      <w:r w:rsidRPr="00730CC1">
        <w:rPr>
          <w:rFonts w:eastAsia="Cambria" w:cs="Cambria"/>
          <w:sz w:val="22"/>
        </w:rPr>
        <w:t xml:space="preserve">viešųjų pirkimų būdu </w:t>
      </w:r>
      <w:r w:rsidRPr="00730CC1">
        <w:rPr>
          <w:sz w:val="22"/>
        </w:rPr>
        <w:t>centralizuotai įsigis viešojo sektoriaus organizacija, kuri vėliau šiuos produktus ir prekes paskirstys partnerių organizacijoms. Toks centra</w:t>
      </w:r>
      <w:r w:rsidR="00D04C6E" w:rsidRPr="00730CC1">
        <w:rPr>
          <w:sz w:val="22"/>
        </w:rPr>
        <w:t>lizuotas VP veiklų įgyvendinimo organizavimas</w:t>
      </w:r>
      <w:r w:rsidRPr="00730CC1">
        <w:rPr>
          <w:sz w:val="22"/>
        </w:rPr>
        <w:t xml:space="preserve"> užtikrina, kad partnerių organizacijos nepatiria papildomos adminsitracinės naštos, kuri būtų neišvengiama tuo atveju, jei kiekviena iš jų savarankiškai įgyvendintų projektą, t.</w:t>
      </w:r>
      <w:r w:rsidR="004705D2">
        <w:rPr>
          <w:sz w:val="22"/>
        </w:rPr>
        <w:t> </w:t>
      </w:r>
      <w:r w:rsidRPr="00730CC1">
        <w:rPr>
          <w:sz w:val="22"/>
        </w:rPr>
        <w:t>y. rengtų ir teiktų paraiška</w:t>
      </w:r>
      <w:r w:rsidR="00C12107">
        <w:rPr>
          <w:sz w:val="22"/>
        </w:rPr>
        <w:t>s</w:t>
      </w:r>
      <w:r w:rsidRPr="00730CC1">
        <w:rPr>
          <w:sz w:val="22"/>
        </w:rPr>
        <w:t>,  vykdytų viešuosius pirkimus ir įgyvendintų veiklas</w:t>
      </w:r>
      <w:r w:rsidRPr="00730CC1">
        <w:rPr>
          <w:rStyle w:val="FootnoteReference"/>
          <w:sz w:val="22"/>
        </w:rPr>
        <w:footnoteReference w:id="26"/>
      </w:r>
      <w:r w:rsidR="00D04C6E" w:rsidRPr="00730CC1">
        <w:rPr>
          <w:sz w:val="22"/>
        </w:rPr>
        <w:t xml:space="preserve">. Todėl šiuo metu VP projekte numatytas Fondo remiamų veiklų įgyvendinimo mechanizmas yra efektyvus  ir  nesukuria perteklinės administracinės naštos. </w:t>
      </w:r>
    </w:p>
    <w:p w14:paraId="511DF80B" w14:textId="609F3C2F" w:rsidR="005354F9" w:rsidRPr="00730CC1" w:rsidRDefault="00D04C6E" w:rsidP="00157829">
      <w:pPr>
        <w:pStyle w:val="Text"/>
        <w:ind w:left="360"/>
        <w:rPr>
          <w:sz w:val="22"/>
        </w:rPr>
      </w:pPr>
      <w:r w:rsidRPr="003E176F">
        <w:rPr>
          <w:sz w:val="22"/>
        </w:rPr>
        <w:t>Kita vertus, viešojo sektoriaus organizacija</w:t>
      </w:r>
      <w:r w:rsidR="000F0248">
        <w:rPr>
          <w:sz w:val="22"/>
        </w:rPr>
        <w:t>,</w:t>
      </w:r>
      <w:r w:rsidRPr="003E176F">
        <w:rPr>
          <w:sz w:val="22"/>
        </w:rPr>
        <w:t xml:space="preserve"> kaip projekto vykdytojas</w:t>
      </w:r>
      <w:r w:rsidR="000F0248">
        <w:rPr>
          <w:sz w:val="22"/>
        </w:rPr>
        <w:t>,</w:t>
      </w:r>
      <w:r w:rsidRPr="003E176F">
        <w:rPr>
          <w:sz w:val="22"/>
        </w:rPr>
        <w:t xml:space="preserve"> patiria projekto administravimo sąnaudų</w:t>
      </w:r>
      <w:r w:rsidR="003E1A46" w:rsidRPr="000F0248">
        <w:rPr>
          <w:sz w:val="22"/>
        </w:rPr>
        <w:t>,</w:t>
      </w:r>
      <w:r w:rsidR="003E1A46" w:rsidRPr="00730CC1">
        <w:rPr>
          <w:sz w:val="22"/>
        </w:rPr>
        <w:t xml:space="preserve"> kurių nepadengia fiksuoto dydžio sumos, skiriamos įsigyt</w:t>
      </w:r>
      <w:r w:rsidR="003E176F">
        <w:rPr>
          <w:sz w:val="22"/>
        </w:rPr>
        <w:t>iems</w:t>
      </w:r>
      <w:r w:rsidR="003E1A46" w:rsidRPr="00730CC1">
        <w:rPr>
          <w:sz w:val="22"/>
        </w:rPr>
        <w:t xml:space="preserve"> paramos produkt</w:t>
      </w:r>
      <w:r w:rsidR="003E176F">
        <w:rPr>
          <w:sz w:val="22"/>
        </w:rPr>
        <w:t>ams</w:t>
      </w:r>
      <w:r w:rsidR="003E1A46" w:rsidRPr="00730CC1">
        <w:rPr>
          <w:sz w:val="22"/>
        </w:rPr>
        <w:t xml:space="preserve"> ir prek</w:t>
      </w:r>
      <w:r w:rsidR="003E176F">
        <w:rPr>
          <w:sz w:val="22"/>
        </w:rPr>
        <w:t>ėms</w:t>
      </w:r>
      <w:r w:rsidR="003E1A46" w:rsidRPr="00730CC1">
        <w:rPr>
          <w:sz w:val="22"/>
        </w:rPr>
        <w:t xml:space="preserve"> transport</w:t>
      </w:r>
      <w:r w:rsidR="003E176F">
        <w:rPr>
          <w:sz w:val="22"/>
        </w:rPr>
        <w:t>uoti</w:t>
      </w:r>
      <w:r w:rsidR="003E1A46" w:rsidRPr="00730CC1">
        <w:rPr>
          <w:sz w:val="22"/>
        </w:rPr>
        <w:t xml:space="preserve"> į partnerių organizacijų sandėlius. Tokiu būdu projekto vykdytojas susiduria su </w:t>
      </w:r>
      <w:r w:rsidR="005354F9" w:rsidRPr="00730CC1">
        <w:rPr>
          <w:sz w:val="22"/>
        </w:rPr>
        <w:t>sąnaudų žmogiškiesiems ištekliams kompensavimo problema</w:t>
      </w:r>
      <w:r w:rsidR="005354F9" w:rsidRPr="00730CC1">
        <w:rPr>
          <w:rStyle w:val="FootnoteReference"/>
          <w:sz w:val="22"/>
        </w:rPr>
        <w:footnoteReference w:id="27"/>
      </w:r>
      <w:r w:rsidR="005354F9" w:rsidRPr="00730CC1">
        <w:rPr>
          <w:sz w:val="22"/>
        </w:rPr>
        <w:t>.</w:t>
      </w:r>
      <w:r w:rsidR="00157829" w:rsidRPr="00730CC1">
        <w:rPr>
          <w:sz w:val="22"/>
        </w:rPr>
        <w:t xml:space="preserve"> </w:t>
      </w:r>
      <w:r w:rsidR="00157829" w:rsidRPr="006C3015">
        <w:rPr>
          <w:sz w:val="22"/>
        </w:rPr>
        <w:t>Todėl yra būtina svarstyti galimybę projekto vykdytojo patiriamas žmogiškųjų išteklių sąnaudas</w:t>
      </w:r>
      <w:r w:rsidR="006C3015">
        <w:rPr>
          <w:sz w:val="22"/>
        </w:rPr>
        <w:t>, skirtas</w:t>
      </w:r>
      <w:r w:rsidR="00157829" w:rsidRPr="006C3015">
        <w:rPr>
          <w:sz w:val="22"/>
        </w:rPr>
        <w:t xml:space="preserve"> VP veikloms administruoti</w:t>
      </w:r>
      <w:r w:rsidR="006C3015">
        <w:rPr>
          <w:sz w:val="22"/>
        </w:rPr>
        <w:t>,</w:t>
      </w:r>
      <w:r w:rsidR="00157829" w:rsidRPr="006C3015">
        <w:rPr>
          <w:sz w:val="22"/>
        </w:rPr>
        <w:t xml:space="preserve"> finansuoti, panaudojant techninės paramos lėšas arba numatant finansavimą iš nacionalinio biudžeto.</w:t>
      </w:r>
    </w:p>
    <w:p w14:paraId="694C77A4" w14:textId="11A30F6F" w:rsidR="00285ABA" w:rsidRDefault="00DB3571" w:rsidP="00816FF5">
      <w:pPr>
        <w:pStyle w:val="Text"/>
        <w:spacing w:after="0"/>
        <w:ind w:left="360"/>
        <w:rPr>
          <w:sz w:val="22"/>
        </w:rPr>
      </w:pPr>
      <w:r w:rsidRPr="006C3015">
        <w:rPr>
          <w:sz w:val="22"/>
        </w:rPr>
        <w:t>Atsižvelgiant į EK pasiūlymus dėl bendrųjų produkto rodiklių, ateityje administracinė našta pareiškėjams ir paramos gavėjams gali didėti, nes papildomi duomen</w:t>
      </w:r>
      <w:r w:rsidR="00F81B49" w:rsidRPr="006C3015">
        <w:rPr>
          <w:sz w:val="22"/>
        </w:rPr>
        <w:t>ys</w:t>
      </w:r>
      <w:r w:rsidRPr="006C3015">
        <w:rPr>
          <w:sz w:val="22"/>
        </w:rPr>
        <w:t xml:space="preserve"> apie partner</w:t>
      </w:r>
      <w:r w:rsidR="00C12107">
        <w:rPr>
          <w:sz w:val="22"/>
        </w:rPr>
        <w:t>ių</w:t>
      </w:r>
      <w:r w:rsidR="003E176F">
        <w:rPr>
          <w:sz w:val="22"/>
        </w:rPr>
        <w:t xml:space="preserve"> </w:t>
      </w:r>
      <w:r w:rsidRPr="006C3015">
        <w:rPr>
          <w:sz w:val="22"/>
        </w:rPr>
        <w:t>organizacijas, galutinius paramos gavėjus ir Fondo lėšomis įsigyt</w:t>
      </w:r>
      <w:r w:rsidR="00C12107">
        <w:rPr>
          <w:sz w:val="22"/>
        </w:rPr>
        <w:t>as</w:t>
      </w:r>
      <w:r w:rsidRPr="006C3015">
        <w:rPr>
          <w:sz w:val="22"/>
        </w:rPr>
        <w:t xml:space="preserve"> ir paskirstytas prekes </w:t>
      </w:r>
      <w:r w:rsidR="003E176F">
        <w:rPr>
          <w:sz w:val="22"/>
        </w:rPr>
        <w:t>bei</w:t>
      </w:r>
      <w:r w:rsidRPr="006C3015">
        <w:rPr>
          <w:sz w:val="22"/>
        </w:rPr>
        <w:t xml:space="preserve"> produktus pareikalaus didesnių Fondo veiklų administravimo ir laiko sąnaudų.</w:t>
      </w:r>
      <w:r w:rsidRPr="00730CC1">
        <w:rPr>
          <w:sz w:val="22"/>
        </w:rPr>
        <w:t xml:space="preserve"> Tokiu atveju administracinė našta iš dalies galės būti sumažinta, įdiegus jau minėtą Fondo veiklų specifikai pritaikytą </w:t>
      </w:r>
      <w:r w:rsidR="00816FF5" w:rsidRPr="00730CC1">
        <w:rPr>
          <w:sz w:val="22"/>
        </w:rPr>
        <w:t>informacinę sistemą</w:t>
      </w:r>
      <w:r w:rsidRPr="00730CC1">
        <w:rPr>
          <w:sz w:val="22"/>
        </w:rPr>
        <w:t>, kuri palengvi</w:t>
      </w:r>
      <w:r w:rsidR="00816FF5" w:rsidRPr="00730CC1">
        <w:rPr>
          <w:sz w:val="22"/>
        </w:rPr>
        <w:t>ntų keitimąsi infor</w:t>
      </w:r>
      <w:r w:rsidRPr="00730CC1">
        <w:rPr>
          <w:sz w:val="22"/>
        </w:rPr>
        <w:t>m</w:t>
      </w:r>
      <w:r w:rsidR="00816FF5" w:rsidRPr="00730CC1">
        <w:rPr>
          <w:sz w:val="22"/>
        </w:rPr>
        <w:t>a</w:t>
      </w:r>
      <w:r w:rsidRPr="00730CC1">
        <w:rPr>
          <w:sz w:val="22"/>
        </w:rPr>
        <w:t>cija</w:t>
      </w:r>
      <w:r w:rsidR="00816FF5" w:rsidRPr="00730CC1">
        <w:rPr>
          <w:sz w:val="22"/>
        </w:rPr>
        <w:t xml:space="preserve"> ir stebėsenos duomenų rinkimą ir saugojimą.</w:t>
      </w:r>
    </w:p>
    <w:p w14:paraId="3793D264" w14:textId="77777777" w:rsidR="00285ABA" w:rsidRDefault="00285ABA">
      <w:pPr>
        <w:spacing w:after="200"/>
        <w:rPr>
          <w:noProof/>
          <w:sz w:val="22"/>
        </w:rPr>
      </w:pPr>
      <w:r>
        <w:rPr>
          <w:sz w:val="22"/>
        </w:rPr>
        <w:br w:type="page"/>
      </w:r>
    </w:p>
    <w:p w14:paraId="468FB1C1" w14:textId="77777777" w:rsidR="00DB3571" w:rsidRPr="00730CC1" w:rsidRDefault="00DB3571" w:rsidP="00816FF5">
      <w:pPr>
        <w:pStyle w:val="Text"/>
        <w:spacing w:after="0"/>
        <w:ind w:left="360"/>
        <w:rPr>
          <w:sz w:val="22"/>
        </w:rPr>
      </w:pPr>
    </w:p>
    <w:p w14:paraId="5467F40F" w14:textId="16CA4257" w:rsidR="00A52582" w:rsidRPr="00730CC1" w:rsidRDefault="00A52582" w:rsidP="00FB736A">
      <w:pPr>
        <w:pStyle w:val="Heading2"/>
        <w:numPr>
          <w:ilvl w:val="0"/>
          <w:numId w:val="6"/>
        </w:numPr>
        <w:spacing w:after="120"/>
        <w:rPr>
          <w:rStyle w:val="Heading1Char"/>
        </w:rPr>
      </w:pPr>
      <w:bookmarkStart w:id="6" w:name="_Toc393467608"/>
      <w:r w:rsidRPr="00730CC1">
        <w:rPr>
          <w:rStyle w:val="Heading1Char"/>
        </w:rPr>
        <w:t>PARTNERYSTĖS PRINCIPO ĮGYVENDINIMAS</w:t>
      </w:r>
      <w:bookmarkEnd w:id="6"/>
    </w:p>
    <w:p w14:paraId="30CB8331" w14:textId="3EF1D4D8" w:rsidR="00A52582" w:rsidRPr="00730CC1" w:rsidRDefault="00AF1C3D" w:rsidP="00FB736A">
      <w:pPr>
        <w:pStyle w:val="Text"/>
        <w:numPr>
          <w:ilvl w:val="0"/>
          <w:numId w:val="21"/>
        </w:numPr>
        <w:spacing w:after="120"/>
        <w:rPr>
          <w:color w:val="036575" w:themeColor="accent5" w:themeTint="E6"/>
        </w:rPr>
      </w:pPr>
      <w:r w:rsidRPr="00730CC1">
        <w:rPr>
          <w:rFonts w:asciiTheme="majorHAnsi" w:hAnsiTheme="majorHAnsi"/>
          <w:color w:val="036575" w:themeColor="accent5" w:themeTint="E6"/>
        </w:rPr>
        <w:t>Ar buvo užtikrintas partnerystės principo taikymas rengiant veiksmų programos projektą? Ar socialinių-ekonominių partnerių įtraukimas į veiksmų programos projekto rengimo procesą pakankamas?</w:t>
      </w:r>
    </w:p>
    <w:p w14:paraId="48EDA70A" w14:textId="77E5FFAA" w:rsidR="003865C6" w:rsidRPr="00730CC1" w:rsidRDefault="003865C6" w:rsidP="00FB736A">
      <w:pPr>
        <w:pStyle w:val="Text"/>
        <w:spacing w:after="120"/>
        <w:ind w:left="360" w:right="0"/>
        <w:rPr>
          <w:noProof w:val="0"/>
          <w:sz w:val="22"/>
        </w:rPr>
      </w:pPr>
      <w:r w:rsidRPr="00730CC1">
        <w:rPr>
          <w:noProof w:val="0"/>
          <w:sz w:val="22"/>
        </w:rPr>
        <w:t>Rengiant Europos pagalbos fondo labiausiai skurstantiems asmenims veiksmų programos projektą</w:t>
      </w:r>
      <w:r w:rsidR="00F81B49">
        <w:rPr>
          <w:noProof w:val="0"/>
          <w:sz w:val="22"/>
        </w:rPr>
        <w:t>,</w:t>
      </w:r>
      <w:r w:rsidRPr="00730CC1">
        <w:rPr>
          <w:noProof w:val="0"/>
          <w:sz w:val="22"/>
        </w:rPr>
        <w:t xml:space="preserve"> </w:t>
      </w:r>
      <w:r w:rsidR="00816FF5" w:rsidRPr="00730CC1">
        <w:rPr>
          <w:noProof w:val="0"/>
          <w:sz w:val="22"/>
        </w:rPr>
        <w:t xml:space="preserve">už jo parengimą atsakinga LR socialinės apsaugos ir darbo ministerija ėmėsi priemonių, </w:t>
      </w:r>
      <w:r w:rsidR="00F81B49">
        <w:rPr>
          <w:noProof w:val="0"/>
          <w:sz w:val="22"/>
        </w:rPr>
        <w:t xml:space="preserve">kuriomis </w:t>
      </w:r>
      <w:r w:rsidR="00816FF5" w:rsidRPr="00730CC1">
        <w:rPr>
          <w:noProof w:val="0"/>
          <w:sz w:val="22"/>
        </w:rPr>
        <w:t>siek</w:t>
      </w:r>
      <w:r w:rsidR="00F81B49">
        <w:rPr>
          <w:noProof w:val="0"/>
          <w:sz w:val="22"/>
        </w:rPr>
        <w:t>ė</w:t>
      </w:r>
      <w:r w:rsidR="00816FF5" w:rsidRPr="00730CC1">
        <w:rPr>
          <w:noProof w:val="0"/>
          <w:sz w:val="22"/>
        </w:rPr>
        <w:t xml:space="preserve"> užtikrinti visų suinteresuotųjų pusių dalyvavimą </w:t>
      </w:r>
      <w:r w:rsidR="00F81B49">
        <w:rPr>
          <w:noProof w:val="0"/>
          <w:sz w:val="22"/>
        </w:rPr>
        <w:t xml:space="preserve">planuojant </w:t>
      </w:r>
      <w:r w:rsidR="00816FF5" w:rsidRPr="00730CC1">
        <w:rPr>
          <w:noProof w:val="0"/>
          <w:sz w:val="22"/>
        </w:rPr>
        <w:t>Fondo remiam</w:t>
      </w:r>
      <w:r w:rsidR="00F81B49">
        <w:rPr>
          <w:noProof w:val="0"/>
          <w:sz w:val="22"/>
        </w:rPr>
        <w:t>as</w:t>
      </w:r>
      <w:r w:rsidR="00816FF5" w:rsidRPr="00730CC1">
        <w:rPr>
          <w:noProof w:val="0"/>
          <w:sz w:val="22"/>
        </w:rPr>
        <w:t xml:space="preserve"> intervencij</w:t>
      </w:r>
      <w:r w:rsidR="00F81B49">
        <w:rPr>
          <w:noProof w:val="0"/>
          <w:sz w:val="22"/>
        </w:rPr>
        <w:t>as</w:t>
      </w:r>
      <w:r w:rsidR="00816FF5" w:rsidRPr="00730CC1">
        <w:rPr>
          <w:noProof w:val="0"/>
          <w:sz w:val="22"/>
        </w:rPr>
        <w:t xml:space="preserve">. </w:t>
      </w:r>
      <w:r w:rsidRPr="00730CC1">
        <w:rPr>
          <w:noProof w:val="0"/>
          <w:sz w:val="22"/>
        </w:rPr>
        <w:t>Išankstinio vertinimo metu partnerystės principo įgyvendinimas buvo analizuojamas trimis aspektais:</w:t>
      </w:r>
    </w:p>
    <w:p w14:paraId="019A7F09" w14:textId="5BF8FB90" w:rsidR="00F841FB" w:rsidRPr="00730CC1" w:rsidRDefault="003865C6" w:rsidP="00FB736A">
      <w:pPr>
        <w:pStyle w:val="Text"/>
        <w:numPr>
          <w:ilvl w:val="0"/>
          <w:numId w:val="15"/>
        </w:numPr>
        <w:spacing w:after="120"/>
        <w:ind w:right="0"/>
        <w:rPr>
          <w:noProof w:val="0"/>
          <w:sz w:val="22"/>
        </w:rPr>
      </w:pPr>
      <w:r w:rsidRPr="00730CC1">
        <w:rPr>
          <w:noProof w:val="0"/>
          <w:sz w:val="22"/>
        </w:rPr>
        <w:t>Reprezentatyvumas: ar į partnerystės procesą įtraukti visi aktualūs partneriai?</w:t>
      </w:r>
      <w:r w:rsidR="00816FF5" w:rsidRPr="00730CC1">
        <w:rPr>
          <w:noProof w:val="0"/>
          <w:sz w:val="22"/>
        </w:rPr>
        <w:t xml:space="preserve"> VP projekto rengimo metu partnerių įtraukimą buvo siekiama užtikrinti taikant tiek institucionalizuotą, tiek neinstitucionalizuotą </w:t>
      </w:r>
      <w:r w:rsidR="00C12107">
        <w:rPr>
          <w:noProof w:val="0"/>
          <w:sz w:val="22"/>
        </w:rPr>
        <w:t>bendradarbiavimą su suinteresuotomis pusėmis</w:t>
      </w:r>
      <w:r w:rsidR="00816FF5" w:rsidRPr="00730CC1">
        <w:rPr>
          <w:noProof w:val="0"/>
          <w:sz w:val="22"/>
        </w:rPr>
        <w:t>. VP rengimo pradžioje buvo surengta apskritojo stalo diskusija, kurioje dalyvavo svarbiausios suinteresuotosios pusės (valstybės institucijų, savivaldybių, nevyriausybinių organizacijų, kitų organizacijų atstovai)</w:t>
      </w:r>
      <w:r w:rsidR="00F81B49">
        <w:rPr>
          <w:noProof w:val="0"/>
          <w:sz w:val="22"/>
        </w:rPr>
        <w:t>.</w:t>
      </w:r>
      <w:r w:rsidR="002753BA">
        <w:rPr>
          <w:noProof w:val="0"/>
          <w:sz w:val="22"/>
        </w:rPr>
        <w:t xml:space="preserve"> </w:t>
      </w:r>
      <w:r w:rsidR="00F81B49">
        <w:rPr>
          <w:noProof w:val="0"/>
          <w:sz w:val="22"/>
        </w:rPr>
        <w:t>Diskusijos</w:t>
      </w:r>
      <w:r w:rsidR="00816FF5" w:rsidRPr="00730CC1">
        <w:rPr>
          <w:noProof w:val="0"/>
          <w:sz w:val="22"/>
        </w:rPr>
        <w:t xml:space="preserve"> metu buvo sutarta dėl VP rengimo proceso ir nuspręsta, kad bendros visų partnerių organizacijų pozicijos bus siekiama surengiant apklausą dėl </w:t>
      </w:r>
      <w:r w:rsidR="00780078" w:rsidRPr="00730CC1">
        <w:rPr>
          <w:noProof w:val="0"/>
          <w:sz w:val="22"/>
        </w:rPr>
        <w:t xml:space="preserve">Fondo paramos tikslinių grupių, aktualiausių remiamų veiklų ir jų įgyvendinimo. Taigi galima teigti, kad jau pradiniu Fondo paramos planavimo etapu (iki VP projekto parengimo) buvo užtikrinta plataus masto partnerystė. Parengus VP projektą, jis buvo </w:t>
      </w:r>
      <w:r w:rsidR="00F841FB" w:rsidRPr="00730CC1">
        <w:rPr>
          <w:noProof w:val="0"/>
          <w:sz w:val="22"/>
        </w:rPr>
        <w:t xml:space="preserve">išsiųstas visoms savivaldybėms ir nevyriausybinėms organizacijoms bei </w:t>
      </w:r>
      <w:r w:rsidR="00780078" w:rsidRPr="00730CC1">
        <w:rPr>
          <w:noProof w:val="0"/>
          <w:sz w:val="22"/>
        </w:rPr>
        <w:t xml:space="preserve">patalpintas LR socialinės apsaugos ir darbo ministerijos tinklapyje ir prieinamas viešai, taip užtikrinant galimybę visoms suinteresuotoms pusėms susipažinti su planuojamu Fondo paramos panaudojimu ir pateikti savo pasiūlymus. Galiausiai, VP projekto rengimo metu buvo suformuotas Stebėsenos komitetas, į kurio sudėtį įeina </w:t>
      </w:r>
      <w:r w:rsidR="0062752F" w:rsidRPr="00730CC1">
        <w:rPr>
          <w:noProof w:val="0"/>
          <w:sz w:val="22"/>
        </w:rPr>
        <w:t>organizacijų</w:t>
      </w:r>
      <w:r w:rsidR="0062752F">
        <w:rPr>
          <w:noProof w:val="0"/>
          <w:sz w:val="22"/>
        </w:rPr>
        <w:t>, dalyvaujančių</w:t>
      </w:r>
      <w:r w:rsidR="0062752F" w:rsidRPr="00730CC1">
        <w:rPr>
          <w:noProof w:val="0"/>
          <w:sz w:val="22"/>
        </w:rPr>
        <w:t xml:space="preserve"> plan</w:t>
      </w:r>
      <w:r w:rsidR="0062752F">
        <w:rPr>
          <w:noProof w:val="0"/>
          <w:sz w:val="22"/>
        </w:rPr>
        <w:t>uojant</w:t>
      </w:r>
      <w:r w:rsidR="0062752F" w:rsidRPr="00730CC1">
        <w:rPr>
          <w:noProof w:val="0"/>
          <w:sz w:val="22"/>
        </w:rPr>
        <w:t xml:space="preserve"> ir įgyvendin</w:t>
      </w:r>
      <w:r w:rsidR="0062752F">
        <w:rPr>
          <w:noProof w:val="0"/>
          <w:sz w:val="22"/>
        </w:rPr>
        <w:t>ant</w:t>
      </w:r>
      <w:r w:rsidR="0062752F" w:rsidRPr="00730CC1">
        <w:rPr>
          <w:noProof w:val="0"/>
          <w:sz w:val="22"/>
        </w:rPr>
        <w:t xml:space="preserve"> </w:t>
      </w:r>
      <w:r w:rsidR="00780078" w:rsidRPr="00730CC1">
        <w:rPr>
          <w:noProof w:val="0"/>
          <w:sz w:val="22"/>
        </w:rPr>
        <w:t>VP veikl</w:t>
      </w:r>
      <w:r w:rsidR="002753BA">
        <w:rPr>
          <w:noProof w:val="0"/>
          <w:sz w:val="22"/>
        </w:rPr>
        <w:t>as</w:t>
      </w:r>
      <w:r w:rsidR="0062752F">
        <w:rPr>
          <w:noProof w:val="0"/>
          <w:sz w:val="22"/>
        </w:rPr>
        <w:t>,</w:t>
      </w:r>
      <w:r w:rsidR="00780078" w:rsidRPr="00730CC1">
        <w:rPr>
          <w:noProof w:val="0"/>
          <w:sz w:val="22"/>
        </w:rPr>
        <w:t xml:space="preserve"> ir kitų suinteresuotųjų pusių atstovai</w:t>
      </w:r>
      <w:r w:rsidR="00F841FB" w:rsidRPr="00730CC1">
        <w:rPr>
          <w:noProof w:val="0"/>
          <w:sz w:val="22"/>
        </w:rPr>
        <w:t>. Tačiau Stebėsenos komitetas turi tik patariamąjį vaidmenį, o partnerių atstovai sudaro mažiau nei pusę komiteto narių.</w:t>
      </w:r>
    </w:p>
    <w:p w14:paraId="5848CC42" w14:textId="11785B09" w:rsidR="003865C6" w:rsidRPr="00730CC1" w:rsidRDefault="003865C6" w:rsidP="00FB736A">
      <w:pPr>
        <w:pStyle w:val="Text"/>
        <w:numPr>
          <w:ilvl w:val="0"/>
          <w:numId w:val="15"/>
        </w:numPr>
        <w:spacing w:after="120"/>
        <w:ind w:right="0"/>
        <w:rPr>
          <w:noProof w:val="0"/>
          <w:sz w:val="22"/>
        </w:rPr>
      </w:pPr>
      <w:r w:rsidRPr="00730CC1">
        <w:rPr>
          <w:noProof w:val="0"/>
          <w:sz w:val="22"/>
        </w:rPr>
        <w:t>Laikas: ar partneriams suteikiamas pakankamas laikotarpis pasirengti dalyvauti partnerystės procese?</w:t>
      </w:r>
      <w:r w:rsidR="00F841FB" w:rsidRPr="00730CC1">
        <w:rPr>
          <w:noProof w:val="0"/>
          <w:sz w:val="22"/>
        </w:rPr>
        <w:t xml:space="preserve"> Kaip buvo minėta aukščiau, jau pradiniu Fondo paramos planavimo etapu </w:t>
      </w:r>
      <w:r w:rsidR="00F841FB" w:rsidRPr="006C3015">
        <w:rPr>
          <w:noProof w:val="0"/>
          <w:sz w:val="22"/>
        </w:rPr>
        <w:t>suinteresuotosios pusės galėjo dalyvauti partnerystės procese,</w:t>
      </w:r>
      <w:r w:rsidR="00F841FB" w:rsidRPr="00730CC1">
        <w:rPr>
          <w:noProof w:val="0"/>
          <w:sz w:val="22"/>
        </w:rPr>
        <w:t xml:space="preserve"> dalyvaudami apskritojo stalo diskusijoje, atsakydami į apklausos anketos klausimus, </w:t>
      </w:r>
      <w:r w:rsidR="006C5B5C" w:rsidRPr="00730CC1">
        <w:rPr>
          <w:noProof w:val="0"/>
          <w:sz w:val="22"/>
        </w:rPr>
        <w:t xml:space="preserve">siųsdami savo pasiūlymus dėl parengto VP projekto, kuris apie mėnesį buvo viešai prieinamas LR socialinės apsaugos ir darbo ministerijos tinklapyje. Tad galima teigti, jog partneriams buvo suteikta pakankamai laiko įsitraukti į Fondo </w:t>
      </w:r>
      <w:r w:rsidR="00FB736A" w:rsidRPr="00730CC1">
        <w:rPr>
          <w:noProof w:val="0"/>
          <w:sz w:val="22"/>
        </w:rPr>
        <w:t>v</w:t>
      </w:r>
      <w:r w:rsidR="006C5B5C" w:rsidRPr="00730CC1">
        <w:rPr>
          <w:noProof w:val="0"/>
          <w:sz w:val="22"/>
        </w:rPr>
        <w:t>eiklų planavimo ir VP rengimo procesą.</w:t>
      </w:r>
    </w:p>
    <w:p w14:paraId="43520758" w14:textId="6707CF62" w:rsidR="006C5B5C" w:rsidRPr="00730CC1" w:rsidRDefault="003865C6" w:rsidP="00157829">
      <w:pPr>
        <w:pStyle w:val="Text"/>
        <w:numPr>
          <w:ilvl w:val="0"/>
          <w:numId w:val="15"/>
        </w:numPr>
        <w:spacing w:after="120"/>
        <w:ind w:right="0"/>
        <w:rPr>
          <w:noProof w:val="0"/>
          <w:sz w:val="22"/>
        </w:rPr>
      </w:pPr>
      <w:r w:rsidRPr="00730CC1">
        <w:rPr>
          <w:noProof w:val="0"/>
          <w:sz w:val="22"/>
        </w:rPr>
        <w:t>Aiškumas: ar partneriams yra aišku, dėl ko su jais tariamasi ir kaip į jų teikiamą nuomonę bus atsižvelgta?</w:t>
      </w:r>
      <w:r w:rsidR="00F841FB" w:rsidRPr="00730CC1">
        <w:rPr>
          <w:noProof w:val="0"/>
          <w:sz w:val="22"/>
        </w:rPr>
        <w:t xml:space="preserve"> Nors atlikta interviu programa parodė, kad partneriams nekilo klausimų dėl konsultacijų objekto (t.</w:t>
      </w:r>
      <w:r w:rsidR="00C56396">
        <w:rPr>
          <w:noProof w:val="0"/>
          <w:sz w:val="22"/>
        </w:rPr>
        <w:t> </w:t>
      </w:r>
      <w:r w:rsidR="00F841FB" w:rsidRPr="00730CC1">
        <w:rPr>
          <w:noProof w:val="0"/>
          <w:sz w:val="22"/>
        </w:rPr>
        <w:t xml:space="preserve">y. VP projekto), tačiau </w:t>
      </w:r>
      <w:r w:rsidR="006C5B5C" w:rsidRPr="00730CC1">
        <w:rPr>
          <w:noProof w:val="0"/>
          <w:sz w:val="22"/>
        </w:rPr>
        <w:t xml:space="preserve">daliai jų nėra aišku, kaip į jų pateiktas pastabas buvo atsižvelgta prieš teikiant VP projektą neoficialioms konsultacijoms su Europos Komisija. Ši informacija buvo pateikta Stebėsenos komiteto nariams, parengiant protokolą, tačiau jis nebuvo išsiųstas savivaldybėms arba patalpintas viešai. Kadangi </w:t>
      </w:r>
      <w:r w:rsidR="00285ABA">
        <w:rPr>
          <w:noProof w:val="0"/>
          <w:sz w:val="22"/>
        </w:rPr>
        <w:t>aktualus</w:t>
      </w:r>
      <w:r w:rsidR="006C5B5C" w:rsidRPr="00730CC1">
        <w:rPr>
          <w:noProof w:val="0"/>
          <w:sz w:val="22"/>
        </w:rPr>
        <w:t xml:space="preserve"> VP projektas </w:t>
      </w:r>
      <w:r w:rsidR="00285ABA">
        <w:rPr>
          <w:noProof w:val="0"/>
          <w:sz w:val="22"/>
        </w:rPr>
        <w:t>nebuvo</w:t>
      </w:r>
      <w:r w:rsidR="006C5B5C" w:rsidRPr="00730CC1">
        <w:rPr>
          <w:noProof w:val="0"/>
          <w:sz w:val="22"/>
        </w:rPr>
        <w:t xml:space="preserve"> pri</w:t>
      </w:r>
      <w:r w:rsidR="00285ABA">
        <w:rPr>
          <w:noProof w:val="0"/>
          <w:sz w:val="22"/>
        </w:rPr>
        <w:t>einamas viešai, partneriams kilo</w:t>
      </w:r>
      <w:r w:rsidR="006C5B5C" w:rsidRPr="00730CC1">
        <w:rPr>
          <w:noProof w:val="0"/>
          <w:sz w:val="22"/>
        </w:rPr>
        <w:t xml:space="preserve"> neai</w:t>
      </w:r>
      <w:r w:rsidR="009B3A0D" w:rsidRPr="00730CC1">
        <w:rPr>
          <w:noProof w:val="0"/>
          <w:sz w:val="22"/>
        </w:rPr>
        <w:t>škumų</w:t>
      </w:r>
      <w:r w:rsidR="00FB736A" w:rsidRPr="00730CC1">
        <w:rPr>
          <w:noProof w:val="0"/>
          <w:sz w:val="22"/>
        </w:rPr>
        <w:t xml:space="preserve"> dėl VP rengimo proceso ir galimybių jame dalyvauti.</w:t>
      </w:r>
    </w:p>
    <w:tbl>
      <w:tblPr>
        <w:tblStyle w:val="VPVILentele1"/>
        <w:tblW w:w="0" w:type="auto"/>
        <w:tblInd w:w="817" w:type="dxa"/>
        <w:tblLook w:val="04A0" w:firstRow="1" w:lastRow="0" w:firstColumn="1" w:lastColumn="0" w:noHBand="0" w:noVBand="1"/>
      </w:tblPr>
      <w:tblGrid>
        <w:gridCol w:w="9356"/>
      </w:tblGrid>
      <w:tr w:rsidR="006C5B5C" w:rsidRPr="00730CC1" w14:paraId="73CEC346" w14:textId="77777777" w:rsidTr="00FB736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6" w:type="dxa"/>
          </w:tcPr>
          <w:p w14:paraId="3CF08FF0" w14:textId="44A5307C" w:rsidR="006C5B5C" w:rsidRPr="00730CC1" w:rsidRDefault="006C5B5C" w:rsidP="001B2584">
            <w:pPr>
              <w:jc w:val="both"/>
              <w:rPr>
                <w:sz w:val="22"/>
              </w:rPr>
            </w:pPr>
            <w:r w:rsidRPr="00730CC1">
              <w:rPr>
                <w:sz w:val="22"/>
              </w:rPr>
              <w:t>Atsižvelgta</w:t>
            </w:r>
            <w:r w:rsidR="00C56396">
              <w:rPr>
                <w:sz w:val="22"/>
              </w:rPr>
              <w:t> </w:t>
            </w:r>
          </w:p>
        </w:tc>
      </w:tr>
      <w:tr w:rsidR="006C5B5C" w:rsidRPr="00730CC1" w14:paraId="7F5E7E76" w14:textId="77777777" w:rsidTr="00FB7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5E265382" w14:textId="0A0F9440" w:rsidR="006C5B5C" w:rsidRPr="00730CC1" w:rsidRDefault="003B69F4" w:rsidP="00FB736A">
            <w:pPr>
              <w:jc w:val="both"/>
              <w:rPr>
                <w:sz w:val="22"/>
              </w:rPr>
            </w:pPr>
            <w:r>
              <w:rPr>
                <w:b/>
                <w:sz w:val="22"/>
              </w:rPr>
              <w:t>8</w:t>
            </w:r>
            <w:r w:rsidR="006C5B5C" w:rsidRPr="00730CC1">
              <w:rPr>
                <w:b/>
                <w:sz w:val="22"/>
              </w:rPr>
              <w:t xml:space="preserve"> rekomendacija.</w:t>
            </w:r>
            <w:r w:rsidR="006C5B5C" w:rsidRPr="00730CC1">
              <w:rPr>
                <w:sz w:val="22"/>
              </w:rPr>
              <w:t xml:space="preserve">  </w:t>
            </w:r>
            <w:r w:rsidR="00FB736A" w:rsidRPr="00730CC1">
              <w:rPr>
                <w:sz w:val="22"/>
              </w:rPr>
              <w:t xml:space="preserve">Užtikrinti galimybę visoms suinteresuotosioms pusėms susipažinti su viešųjų </w:t>
            </w:r>
            <w:r w:rsidR="00FB736A" w:rsidRPr="00730CC1">
              <w:rPr>
                <w:sz w:val="22"/>
              </w:rPr>
              <w:lastRenderedPageBreak/>
              <w:t>konsultacijų rezultatais, pateikiant gautų partnerių pastabų apibendrinimą ir informaciją apie tai, kaip į gautas pastabas ir pasiūlymus buvo atsižvelgta arba ne.</w:t>
            </w:r>
          </w:p>
        </w:tc>
      </w:tr>
    </w:tbl>
    <w:p w14:paraId="57A02A09" w14:textId="4FFA8D51" w:rsidR="003865C6" w:rsidRPr="00730CC1" w:rsidRDefault="003865C6" w:rsidP="006C5B5C">
      <w:pPr>
        <w:pStyle w:val="Text"/>
        <w:ind w:left="0"/>
      </w:pPr>
    </w:p>
    <w:p w14:paraId="5C9AC54F" w14:textId="77777777" w:rsidR="00285ABA" w:rsidRDefault="00285ABA">
      <w:pPr>
        <w:spacing w:after="200"/>
        <w:rPr>
          <w:rStyle w:val="Heading1Char"/>
          <w:caps w:val="0"/>
        </w:rPr>
      </w:pPr>
      <w:bookmarkStart w:id="7" w:name="_Toc393467609"/>
      <w:r>
        <w:rPr>
          <w:rStyle w:val="Heading1Char"/>
        </w:rPr>
        <w:br w:type="page"/>
      </w:r>
    </w:p>
    <w:p w14:paraId="5388595F" w14:textId="56F6FED3" w:rsidR="00A52582" w:rsidRPr="00730CC1" w:rsidRDefault="00A52582" w:rsidP="00AF1C3D">
      <w:pPr>
        <w:pStyle w:val="Heading2"/>
        <w:numPr>
          <w:ilvl w:val="0"/>
          <w:numId w:val="0"/>
        </w:numPr>
        <w:ind w:left="680" w:hanging="680"/>
        <w:rPr>
          <w:rStyle w:val="Heading1Char"/>
        </w:rPr>
      </w:pPr>
      <w:r w:rsidRPr="00730CC1">
        <w:rPr>
          <w:rStyle w:val="Heading1Char"/>
        </w:rPr>
        <w:lastRenderedPageBreak/>
        <w:t>PA</w:t>
      </w:r>
      <w:r w:rsidR="00AF1C3D" w:rsidRPr="00730CC1">
        <w:rPr>
          <w:rStyle w:val="Heading1Char"/>
        </w:rPr>
        <w:t xml:space="preserve">SIŪLYMAI DĖL VEIKSMŲ PROGRAMOS </w:t>
      </w:r>
      <w:r w:rsidRPr="00730CC1">
        <w:rPr>
          <w:rStyle w:val="Heading1Char"/>
        </w:rPr>
        <w:t>TOBULINIMO</w:t>
      </w:r>
      <w:bookmarkEnd w:id="7"/>
    </w:p>
    <w:p w14:paraId="734D8756" w14:textId="754FC414" w:rsidR="00AF1C3D" w:rsidRPr="00730CC1" w:rsidRDefault="00AF1C3D" w:rsidP="000B63D3">
      <w:pPr>
        <w:pStyle w:val="ListParagraph"/>
        <w:numPr>
          <w:ilvl w:val="0"/>
          <w:numId w:val="21"/>
        </w:numPr>
        <w:jc w:val="both"/>
        <w:rPr>
          <w:rFonts w:asciiTheme="majorHAnsi" w:hAnsiTheme="majorHAnsi"/>
          <w:color w:val="036575" w:themeColor="accent5" w:themeTint="E6"/>
        </w:rPr>
      </w:pPr>
      <w:r w:rsidRPr="00730CC1">
        <w:rPr>
          <w:rFonts w:asciiTheme="majorHAnsi" w:hAnsiTheme="majorHAnsi"/>
          <w:color w:val="036575" w:themeColor="accent5" w:themeTint="E6"/>
        </w:rPr>
        <w:t xml:space="preserve">Kaip turi būti tobulinamas veiksmų programos projekto turinys ir kokių papildomų priemonių reikia imtis, atsižvelgiant į išankstinio vertinimo metu nustatytus veiksmų programos projekto trūkumus? </w:t>
      </w:r>
    </w:p>
    <w:p w14:paraId="569FFF09" w14:textId="77777777" w:rsidR="00FB736A" w:rsidRPr="00730CC1" w:rsidRDefault="00FB736A" w:rsidP="00FB736A">
      <w:pPr>
        <w:pStyle w:val="ListParagraph"/>
        <w:ind w:left="720"/>
        <w:jc w:val="both"/>
        <w:rPr>
          <w:rFonts w:asciiTheme="majorHAnsi" w:hAnsiTheme="majorHAnsi"/>
          <w:color w:val="036575" w:themeColor="accent5" w:themeTint="E6"/>
        </w:rPr>
      </w:pPr>
    </w:p>
    <w:p w14:paraId="4BE3382E" w14:textId="1786014E" w:rsidR="009B3A0D" w:rsidRPr="00730CC1" w:rsidRDefault="009B3A0D" w:rsidP="00FB736A">
      <w:pPr>
        <w:pStyle w:val="ListParagraph"/>
        <w:ind w:left="720"/>
        <w:jc w:val="both"/>
        <w:rPr>
          <w:rFonts w:asciiTheme="majorHAnsi" w:hAnsiTheme="majorHAnsi"/>
          <w:sz w:val="22"/>
        </w:rPr>
      </w:pPr>
      <w:r w:rsidRPr="00730CC1">
        <w:rPr>
          <w:rFonts w:asciiTheme="majorHAnsi" w:hAnsiTheme="majorHAnsi"/>
          <w:sz w:val="22"/>
        </w:rPr>
        <w:t xml:space="preserve">Atliktas išankstinis vertinimas parodė, kad parengtas VP projektas iš esmės atitinka Reglamento keliamus reikalavimus VP I tipo veiksmų programoms, tačiau siekiant pagerinti intervencijų logiką, </w:t>
      </w:r>
      <w:r w:rsidR="00C63F45" w:rsidRPr="00730CC1">
        <w:rPr>
          <w:rFonts w:asciiTheme="majorHAnsi" w:hAnsiTheme="majorHAnsi"/>
          <w:sz w:val="22"/>
        </w:rPr>
        <w:t>rekomenduojamos šios pagrindinės VP projekto tobulinimo kryptys:</w:t>
      </w:r>
    </w:p>
    <w:p w14:paraId="21106E98" w14:textId="77777777" w:rsidR="00C63F45" w:rsidRPr="00730CC1" w:rsidRDefault="00C63F45" w:rsidP="00FB736A">
      <w:pPr>
        <w:pStyle w:val="ListParagraph"/>
        <w:ind w:left="720"/>
        <w:jc w:val="both"/>
        <w:rPr>
          <w:rFonts w:asciiTheme="majorHAnsi" w:hAnsiTheme="majorHAnsi"/>
          <w:sz w:val="16"/>
          <w:szCs w:val="16"/>
        </w:rPr>
      </w:pPr>
    </w:p>
    <w:p w14:paraId="0055DA1F" w14:textId="7E862B5D" w:rsidR="00C63F45" w:rsidRPr="00730CC1" w:rsidRDefault="00C63F45" w:rsidP="00C63F45">
      <w:pPr>
        <w:pStyle w:val="ListParagraph"/>
        <w:numPr>
          <w:ilvl w:val="0"/>
          <w:numId w:val="25"/>
        </w:numPr>
        <w:jc w:val="both"/>
        <w:rPr>
          <w:rFonts w:asciiTheme="majorHAnsi" w:hAnsiTheme="majorHAnsi"/>
          <w:sz w:val="22"/>
        </w:rPr>
      </w:pPr>
      <w:r w:rsidRPr="00730CC1">
        <w:rPr>
          <w:rFonts w:asciiTheme="majorHAnsi" w:hAnsiTheme="majorHAnsi"/>
          <w:sz w:val="22"/>
        </w:rPr>
        <w:t>Fondo remiamų veiklų ir siekiamų rezultatų indėlį į strategijos „Europa 2020“</w:t>
      </w:r>
      <w:r w:rsidR="008F4C39">
        <w:rPr>
          <w:rFonts w:asciiTheme="majorHAnsi" w:hAnsiTheme="majorHAnsi"/>
          <w:sz w:val="22"/>
        </w:rPr>
        <w:t xml:space="preserve"> įgyvendinimą</w:t>
      </w:r>
      <w:r w:rsidRPr="00730CC1">
        <w:rPr>
          <w:rFonts w:asciiTheme="majorHAnsi" w:hAnsiTheme="majorHAnsi"/>
          <w:sz w:val="22"/>
        </w:rPr>
        <w:t xml:space="preserve"> pristatyti kaip papildomą skurdo ir socialinės atskirties mažinimo priemon</w:t>
      </w:r>
      <w:r w:rsidR="005619E5">
        <w:rPr>
          <w:rFonts w:asciiTheme="majorHAnsi" w:hAnsiTheme="majorHAnsi"/>
          <w:sz w:val="22"/>
        </w:rPr>
        <w:t>ę</w:t>
      </w:r>
      <w:r w:rsidRPr="00730CC1">
        <w:rPr>
          <w:rFonts w:asciiTheme="majorHAnsi" w:hAnsiTheme="majorHAnsi"/>
          <w:sz w:val="22"/>
        </w:rPr>
        <w:t xml:space="preserve">, kuri tik iš dalies gali palengvinti didelį materialinį nepriteklių patiriančių asmenų situaciją; didžiausią poveikį </w:t>
      </w:r>
      <w:r w:rsidR="005619E5">
        <w:rPr>
          <w:rFonts w:asciiTheme="majorHAnsi" w:hAnsiTheme="majorHAnsi"/>
          <w:sz w:val="22"/>
        </w:rPr>
        <w:t xml:space="preserve">siekiant </w:t>
      </w:r>
      <w:r w:rsidRPr="00730CC1">
        <w:rPr>
          <w:rFonts w:asciiTheme="majorHAnsi" w:hAnsiTheme="majorHAnsi"/>
          <w:sz w:val="22"/>
        </w:rPr>
        <w:t>strateginio tikslo sumažinti skurdą ir socialinę atskirtį patiriančių ES gyventojų skaičių turės kitos ES ir nacionalinių programų intervencijos (</w:t>
      </w:r>
      <w:r w:rsidRPr="00730CC1">
        <w:rPr>
          <w:rFonts w:asciiTheme="majorHAnsi" w:hAnsiTheme="majorHAnsi"/>
          <w:i/>
          <w:sz w:val="22"/>
        </w:rPr>
        <w:t>1 rekomendacija</w:t>
      </w:r>
      <w:r w:rsidRPr="00730CC1">
        <w:rPr>
          <w:rFonts w:asciiTheme="majorHAnsi" w:hAnsiTheme="majorHAnsi"/>
          <w:sz w:val="22"/>
        </w:rPr>
        <w:t>).</w:t>
      </w:r>
    </w:p>
    <w:p w14:paraId="0E6F7259" w14:textId="77777777" w:rsidR="00C63F45" w:rsidRPr="00730CC1" w:rsidRDefault="00C63F45" w:rsidP="00C63F45">
      <w:pPr>
        <w:pStyle w:val="ListParagraph"/>
        <w:ind w:left="1080"/>
        <w:jc w:val="both"/>
        <w:rPr>
          <w:rFonts w:asciiTheme="majorHAnsi" w:hAnsiTheme="majorHAnsi"/>
          <w:sz w:val="16"/>
          <w:szCs w:val="16"/>
        </w:rPr>
      </w:pPr>
    </w:p>
    <w:p w14:paraId="3B84D101" w14:textId="7C3A8757" w:rsidR="00C63F45" w:rsidRPr="00730CC1" w:rsidRDefault="00C63F45" w:rsidP="00C63F45">
      <w:pPr>
        <w:pStyle w:val="ListParagraph"/>
        <w:numPr>
          <w:ilvl w:val="0"/>
          <w:numId w:val="25"/>
        </w:numPr>
        <w:jc w:val="both"/>
        <w:rPr>
          <w:rFonts w:asciiTheme="majorHAnsi" w:hAnsiTheme="majorHAnsi"/>
          <w:sz w:val="22"/>
        </w:rPr>
      </w:pPr>
      <w:r w:rsidRPr="00730CC1">
        <w:rPr>
          <w:rFonts w:asciiTheme="majorHAnsi" w:hAnsiTheme="majorHAnsi"/>
          <w:sz w:val="22"/>
        </w:rPr>
        <w:t>Tinkamai pagrįsti Fondo remiamų veiklų ir jų įgyvendinimo mechanizmų pasirinkimą (</w:t>
      </w:r>
      <w:r w:rsidRPr="00730CC1">
        <w:rPr>
          <w:rFonts w:asciiTheme="majorHAnsi" w:hAnsiTheme="majorHAnsi"/>
          <w:i/>
          <w:sz w:val="22"/>
        </w:rPr>
        <w:t>2 ir 3 rekomendacijos</w:t>
      </w:r>
      <w:r w:rsidRPr="00730CC1">
        <w:rPr>
          <w:rFonts w:asciiTheme="majorHAnsi" w:hAnsiTheme="majorHAnsi"/>
          <w:sz w:val="22"/>
        </w:rPr>
        <w:t>).</w:t>
      </w:r>
    </w:p>
    <w:p w14:paraId="4F88F840" w14:textId="77777777" w:rsidR="00F94CBD" w:rsidRPr="00730CC1" w:rsidRDefault="00F94CBD" w:rsidP="00F94CBD">
      <w:pPr>
        <w:pStyle w:val="ListParagraph"/>
        <w:rPr>
          <w:rFonts w:asciiTheme="majorHAnsi" w:hAnsiTheme="majorHAnsi"/>
          <w:sz w:val="22"/>
        </w:rPr>
      </w:pPr>
    </w:p>
    <w:p w14:paraId="111436DA" w14:textId="1FEC4EB6" w:rsidR="00F94CBD" w:rsidRPr="00730CC1" w:rsidRDefault="00F94CBD" w:rsidP="00C63F45">
      <w:pPr>
        <w:pStyle w:val="ListParagraph"/>
        <w:numPr>
          <w:ilvl w:val="0"/>
          <w:numId w:val="25"/>
        </w:numPr>
        <w:jc w:val="both"/>
        <w:rPr>
          <w:rFonts w:asciiTheme="majorHAnsi" w:hAnsiTheme="majorHAnsi"/>
          <w:sz w:val="22"/>
        </w:rPr>
      </w:pPr>
      <w:r w:rsidRPr="00730CC1">
        <w:rPr>
          <w:rFonts w:asciiTheme="majorHAnsi" w:hAnsiTheme="majorHAnsi"/>
          <w:sz w:val="22"/>
        </w:rPr>
        <w:t>Apibrėžti planuojamas taikyti paramos formas (</w:t>
      </w:r>
      <w:r w:rsidR="003B69F4">
        <w:rPr>
          <w:rFonts w:asciiTheme="majorHAnsi" w:hAnsiTheme="majorHAnsi"/>
          <w:i/>
          <w:sz w:val="22"/>
        </w:rPr>
        <w:t>4</w:t>
      </w:r>
      <w:r w:rsidRPr="00730CC1">
        <w:rPr>
          <w:rFonts w:asciiTheme="majorHAnsi" w:hAnsiTheme="majorHAnsi"/>
          <w:i/>
          <w:sz w:val="22"/>
        </w:rPr>
        <w:t xml:space="preserve"> rekomendacija</w:t>
      </w:r>
      <w:r w:rsidRPr="00730CC1">
        <w:rPr>
          <w:rFonts w:asciiTheme="majorHAnsi" w:hAnsiTheme="majorHAnsi"/>
          <w:sz w:val="22"/>
        </w:rPr>
        <w:t>).</w:t>
      </w:r>
    </w:p>
    <w:p w14:paraId="04764D22" w14:textId="77777777" w:rsidR="00B0489E" w:rsidRPr="00730CC1" w:rsidRDefault="00B0489E" w:rsidP="00B0489E">
      <w:pPr>
        <w:pStyle w:val="ListParagraph"/>
        <w:rPr>
          <w:rFonts w:asciiTheme="majorHAnsi" w:hAnsiTheme="majorHAnsi"/>
          <w:sz w:val="22"/>
        </w:rPr>
      </w:pPr>
    </w:p>
    <w:p w14:paraId="0C93281B" w14:textId="47945271" w:rsidR="00B0489E" w:rsidRPr="00730CC1" w:rsidRDefault="00B0489E" w:rsidP="00C63F45">
      <w:pPr>
        <w:pStyle w:val="ListParagraph"/>
        <w:numPr>
          <w:ilvl w:val="0"/>
          <w:numId w:val="25"/>
        </w:numPr>
        <w:jc w:val="both"/>
        <w:rPr>
          <w:rFonts w:asciiTheme="majorHAnsi" w:hAnsiTheme="majorHAnsi"/>
          <w:sz w:val="22"/>
        </w:rPr>
      </w:pPr>
      <w:r w:rsidRPr="00730CC1">
        <w:rPr>
          <w:rFonts w:asciiTheme="majorHAnsi" w:hAnsiTheme="majorHAnsi"/>
          <w:sz w:val="22"/>
        </w:rPr>
        <w:t>Kol nėra patvirtinti bendrieji stebėsenos rodikliai, VP siekiamus kiekybinius rezultatus numatyti atskirai paramai maisto produktais ir būtinojo vartojimo prekėmis, įvertinant finansavimo pasiskirstymą (</w:t>
      </w:r>
      <w:r w:rsidR="003B69F4">
        <w:rPr>
          <w:rFonts w:asciiTheme="majorHAnsi" w:hAnsiTheme="majorHAnsi"/>
          <w:i/>
          <w:sz w:val="22"/>
        </w:rPr>
        <w:t>5</w:t>
      </w:r>
      <w:r w:rsidRPr="00730CC1">
        <w:rPr>
          <w:rFonts w:asciiTheme="majorHAnsi" w:hAnsiTheme="majorHAnsi"/>
          <w:i/>
          <w:sz w:val="22"/>
        </w:rPr>
        <w:t xml:space="preserve"> rekomendacija</w:t>
      </w:r>
      <w:r w:rsidRPr="00730CC1">
        <w:rPr>
          <w:rFonts w:asciiTheme="majorHAnsi" w:hAnsiTheme="majorHAnsi"/>
          <w:sz w:val="22"/>
        </w:rPr>
        <w:t>).</w:t>
      </w:r>
    </w:p>
    <w:p w14:paraId="3DDDB90D" w14:textId="77777777" w:rsidR="009B3A0D" w:rsidRPr="00730CC1" w:rsidRDefault="009B3A0D" w:rsidP="00FB736A">
      <w:pPr>
        <w:pStyle w:val="ListParagraph"/>
        <w:ind w:left="720"/>
        <w:jc w:val="both"/>
        <w:rPr>
          <w:rFonts w:asciiTheme="majorHAnsi" w:hAnsiTheme="majorHAnsi"/>
          <w:sz w:val="22"/>
        </w:rPr>
      </w:pPr>
    </w:p>
    <w:p w14:paraId="004DDFEA" w14:textId="556EB88A" w:rsidR="00AF1C3D" w:rsidRPr="00730CC1" w:rsidRDefault="00AF1C3D" w:rsidP="000B63D3">
      <w:pPr>
        <w:pStyle w:val="Default"/>
        <w:numPr>
          <w:ilvl w:val="0"/>
          <w:numId w:val="21"/>
        </w:numPr>
        <w:jc w:val="both"/>
        <w:rPr>
          <w:rFonts w:asciiTheme="majorHAnsi" w:hAnsiTheme="majorHAnsi"/>
          <w:color w:val="036575" w:themeColor="accent5" w:themeTint="E6"/>
          <w:sz w:val="22"/>
          <w:szCs w:val="22"/>
        </w:rPr>
      </w:pPr>
      <w:r w:rsidRPr="00730CC1">
        <w:rPr>
          <w:rFonts w:asciiTheme="majorHAnsi" w:hAnsiTheme="majorHAnsi"/>
          <w:color w:val="036575" w:themeColor="accent5" w:themeTint="E6"/>
          <w:sz w:val="22"/>
          <w:szCs w:val="22"/>
        </w:rPr>
        <w:t xml:space="preserve">Kaip reikėtų tobulinti 2014–2020 m. veiksmų programos administravimo sistemą? (Siūlymai pateikiami dėl institucinės sandaros, administravimo principų ir procedūrų.) </w:t>
      </w:r>
    </w:p>
    <w:p w14:paraId="5F2F6783" w14:textId="77777777" w:rsidR="00B0489E" w:rsidRPr="00730CC1" w:rsidRDefault="00B0489E" w:rsidP="00B0489E">
      <w:pPr>
        <w:pStyle w:val="Default"/>
        <w:ind w:left="720"/>
        <w:jc w:val="both"/>
        <w:rPr>
          <w:rFonts w:asciiTheme="majorHAnsi" w:hAnsiTheme="majorHAnsi"/>
          <w:color w:val="036575" w:themeColor="accent5" w:themeTint="E6"/>
          <w:sz w:val="22"/>
          <w:szCs w:val="22"/>
        </w:rPr>
      </w:pPr>
    </w:p>
    <w:p w14:paraId="38A2FD0F" w14:textId="784EC9A2" w:rsidR="00B0489E" w:rsidRPr="00730CC1" w:rsidRDefault="00B0489E" w:rsidP="00F94CBD">
      <w:pPr>
        <w:pStyle w:val="Default"/>
        <w:spacing w:line="276" w:lineRule="auto"/>
        <w:ind w:left="720"/>
        <w:jc w:val="both"/>
        <w:rPr>
          <w:rFonts w:asciiTheme="majorHAnsi" w:hAnsiTheme="majorHAnsi"/>
          <w:color w:val="auto"/>
          <w:sz w:val="22"/>
          <w:szCs w:val="22"/>
        </w:rPr>
      </w:pPr>
      <w:r w:rsidRPr="00730CC1">
        <w:rPr>
          <w:rFonts w:asciiTheme="majorHAnsi" w:hAnsiTheme="majorHAnsi"/>
          <w:color w:val="auto"/>
          <w:sz w:val="22"/>
          <w:szCs w:val="22"/>
        </w:rPr>
        <w:t>Pagrindinės už VP įgyvendinimą atsakingos institucijos turi tinkamus administracinius gebėjimus ir kitų ES finansuojamų intervencijų įgyvendinimo patirties, todėl, tikėtina, užtikrins efektyvų VP administravimą ir įgyvendinimą. Vertinimas parodė, kad pasirinktas Fondo remiamų veiklų įgyvendinimo būdas, kai maisto produktus ir būtinojo varto</w:t>
      </w:r>
      <w:r w:rsidR="00F94CBD" w:rsidRPr="00730CC1">
        <w:rPr>
          <w:rFonts w:asciiTheme="majorHAnsi" w:hAnsiTheme="majorHAnsi"/>
          <w:color w:val="auto"/>
          <w:sz w:val="22"/>
          <w:szCs w:val="22"/>
        </w:rPr>
        <w:t>jimo prekes centralizuotai įsigy</w:t>
      </w:r>
      <w:r w:rsidRPr="00730CC1">
        <w:rPr>
          <w:rFonts w:asciiTheme="majorHAnsi" w:hAnsiTheme="majorHAnsi"/>
          <w:color w:val="auto"/>
          <w:sz w:val="22"/>
          <w:szCs w:val="22"/>
        </w:rPr>
        <w:t>ja viešojo sektoriaus institucija</w:t>
      </w:r>
      <w:r w:rsidR="00F94CBD" w:rsidRPr="00730CC1">
        <w:rPr>
          <w:rFonts w:asciiTheme="majorHAnsi" w:hAnsiTheme="majorHAnsi"/>
          <w:color w:val="auto"/>
          <w:sz w:val="22"/>
          <w:szCs w:val="22"/>
        </w:rPr>
        <w:t>, yra tinkamas ir nesukuria papildomos administracinės naštos. Tačiau siekiant efektyvaus ir rezultatyvaus VP įgyvendinimo, būtų aktualu ateityje VP administravimo sistemą tobulinti:</w:t>
      </w:r>
    </w:p>
    <w:p w14:paraId="085E8D1F" w14:textId="77777777" w:rsidR="00F94CBD" w:rsidRPr="00730CC1" w:rsidRDefault="00F94CBD" w:rsidP="00F94CBD">
      <w:pPr>
        <w:pStyle w:val="Default"/>
        <w:spacing w:line="276" w:lineRule="auto"/>
        <w:ind w:left="720"/>
        <w:jc w:val="both"/>
        <w:rPr>
          <w:rFonts w:asciiTheme="majorHAnsi" w:hAnsiTheme="majorHAnsi"/>
          <w:color w:val="auto"/>
          <w:sz w:val="16"/>
          <w:szCs w:val="16"/>
        </w:rPr>
      </w:pPr>
    </w:p>
    <w:p w14:paraId="68CB926F" w14:textId="202B86FA" w:rsidR="00F94CBD" w:rsidRPr="00730CC1" w:rsidRDefault="00F94CBD" w:rsidP="00F94CBD">
      <w:pPr>
        <w:pStyle w:val="Default"/>
        <w:numPr>
          <w:ilvl w:val="0"/>
          <w:numId w:val="25"/>
        </w:numPr>
        <w:spacing w:line="276" w:lineRule="auto"/>
        <w:jc w:val="both"/>
        <w:rPr>
          <w:rFonts w:asciiTheme="majorHAnsi" w:hAnsiTheme="majorHAnsi"/>
          <w:color w:val="auto"/>
          <w:sz w:val="22"/>
          <w:szCs w:val="22"/>
        </w:rPr>
      </w:pPr>
      <w:r w:rsidRPr="00730CC1">
        <w:rPr>
          <w:rFonts w:asciiTheme="majorHAnsi" w:hAnsiTheme="majorHAnsi"/>
          <w:color w:val="auto"/>
          <w:sz w:val="22"/>
          <w:szCs w:val="22"/>
        </w:rPr>
        <w:t>Sukuriant informacinę sistemą, užtikrinančią efektyvų keitimąsi informaciją apie VP veiklų įgyvendinimą ir stebėsenos duomenų rinkimą ir saugojimą (</w:t>
      </w:r>
      <w:r w:rsidR="003B69F4">
        <w:rPr>
          <w:rFonts w:asciiTheme="majorHAnsi" w:hAnsiTheme="majorHAnsi"/>
          <w:i/>
          <w:color w:val="auto"/>
          <w:sz w:val="22"/>
          <w:szCs w:val="22"/>
        </w:rPr>
        <w:t>6</w:t>
      </w:r>
      <w:r w:rsidRPr="00730CC1">
        <w:rPr>
          <w:rFonts w:asciiTheme="majorHAnsi" w:hAnsiTheme="majorHAnsi"/>
          <w:i/>
          <w:color w:val="auto"/>
          <w:sz w:val="22"/>
          <w:szCs w:val="22"/>
        </w:rPr>
        <w:t xml:space="preserve"> rekomendacija</w:t>
      </w:r>
      <w:r w:rsidRPr="00730CC1">
        <w:rPr>
          <w:rFonts w:asciiTheme="majorHAnsi" w:hAnsiTheme="majorHAnsi"/>
          <w:color w:val="auto"/>
          <w:sz w:val="22"/>
          <w:szCs w:val="22"/>
        </w:rPr>
        <w:t>).</w:t>
      </w:r>
    </w:p>
    <w:p w14:paraId="0DF85DB1" w14:textId="40E5FB10" w:rsidR="00F94CBD" w:rsidRPr="00730CC1" w:rsidRDefault="00F94CBD" w:rsidP="00CF4C8D">
      <w:pPr>
        <w:pStyle w:val="Default"/>
        <w:numPr>
          <w:ilvl w:val="0"/>
          <w:numId w:val="25"/>
        </w:numPr>
        <w:spacing w:after="120" w:line="276" w:lineRule="auto"/>
        <w:jc w:val="both"/>
        <w:rPr>
          <w:rFonts w:asciiTheme="majorHAnsi" w:hAnsiTheme="majorHAnsi"/>
          <w:color w:val="auto"/>
          <w:sz w:val="22"/>
          <w:szCs w:val="22"/>
        </w:rPr>
      </w:pPr>
      <w:r w:rsidRPr="00730CC1">
        <w:rPr>
          <w:rFonts w:asciiTheme="majorHAnsi" w:hAnsiTheme="majorHAnsi"/>
          <w:color w:val="auto"/>
          <w:sz w:val="22"/>
          <w:szCs w:val="22"/>
        </w:rPr>
        <w:t>Užtikrinant, kad reglamente numatyti įrodymai apie VP įgyvendinimą (pagal EK šabloną atliktų struktūruotų paramos gavėjų apklausų rezultatai) būtų tinkamai panaudojami Fondo remiamų intervencijų įgyvendinimui tobulinti (</w:t>
      </w:r>
      <w:r w:rsidR="003B69F4">
        <w:rPr>
          <w:rFonts w:asciiTheme="majorHAnsi" w:hAnsiTheme="majorHAnsi"/>
          <w:i/>
          <w:color w:val="auto"/>
          <w:sz w:val="22"/>
          <w:szCs w:val="22"/>
        </w:rPr>
        <w:t>7</w:t>
      </w:r>
      <w:r w:rsidRPr="00730CC1">
        <w:rPr>
          <w:rFonts w:asciiTheme="majorHAnsi" w:hAnsiTheme="majorHAnsi"/>
          <w:i/>
          <w:color w:val="auto"/>
          <w:sz w:val="22"/>
          <w:szCs w:val="22"/>
        </w:rPr>
        <w:t xml:space="preserve"> rekomendacija</w:t>
      </w:r>
      <w:r w:rsidRPr="00730CC1">
        <w:rPr>
          <w:rFonts w:asciiTheme="majorHAnsi" w:hAnsiTheme="majorHAnsi"/>
          <w:color w:val="auto"/>
          <w:sz w:val="22"/>
          <w:szCs w:val="22"/>
        </w:rPr>
        <w:t>).</w:t>
      </w:r>
    </w:p>
    <w:p w14:paraId="22F82A62" w14:textId="51DD7146" w:rsidR="00F94CBD" w:rsidRPr="00730CC1" w:rsidRDefault="00157829" w:rsidP="00F94CBD">
      <w:pPr>
        <w:pStyle w:val="Default"/>
        <w:numPr>
          <w:ilvl w:val="0"/>
          <w:numId w:val="25"/>
        </w:numPr>
        <w:spacing w:line="276" w:lineRule="auto"/>
        <w:jc w:val="both"/>
        <w:rPr>
          <w:rFonts w:asciiTheme="majorHAnsi" w:hAnsiTheme="majorHAnsi"/>
          <w:color w:val="auto"/>
          <w:sz w:val="22"/>
          <w:szCs w:val="22"/>
        </w:rPr>
      </w:pPr>
      <w:r w:rsidRPr="00730CC1">
        <w:rPr>
          <w:rFonts w:asciiTheme="majorHAnsi" w:hAnsiTheme="majorHAnsi"/>
          <w:color w:val="auto"/>
          <w:sz w:val="22"/>
          <w:szCs w:val="22"/>
        </w:rPr>
        <w:t>VP rengimo metu užtikrinti grįžtamąjį ryšį su suinteresuotosiomis pusėmis ir partnerių įtraukimą visais VP įgyvendinimo etapais (</w:t>
      </w:r>
      <w:r w:rsidR="003B69F4">
        <w:rPr>
          <w:rFonts w:asciiTheme="majorHAnsi" w:hAnsiTheme="majorHAnsi"/>
          <w:i/>
          <w:color w:val="auto"/>
          <w:sz w:val="22"/>
          <w:szCs w:val="22"/>
        </w:rPr>
        <w:t>8</w:t>
      </w:r>
      <w:r w:rsidRPr="00730CC1">
        <w:rPr>
          <w:rFonts w:asciiTheme="majorHAnsi" w:hAnsiTheme="majorHAnsi"/>
          <w:i/>
          <w:color w:val="auto"/>
          <w:sz w:val="22"/>
          <w:szCs w:val="22"/>
        </w:rPr>
        <w:t xml:space="preserve"> rekomendacija</w:t>
      </w:r>
      <w:r w:rsidRPr="00730CC1">
        <w:rPr>
          <w:rFonts w:asciiTheme="majorHAnsi" w:hAnsiTheme="majorHAnsi"/>
          <w:color w:val="auto"/>
          <w:sz w:val="22"/>
          <w:szCs w:val="22"/>
        </w:rPr>
        <w:t>).</w:t>
      </w:r>
    </w:p>
    <w:p w14:paraId="6A8AF16C" w14:textId="77777777" w:rsidR="00B0489E" w:rsidRPr="00730CC1" w:rsidRDefault="00B0489E" w:rsidP="00B0489E">
      <w:pPr>
        <w:pStyle w:val="Default"/>
        <w:ind w:left="720"/>
        <w:jc w:val="both"/>
        <w:rPr>
          <w:rFonts w:asciiTheme="majorHAnsi" w:hAnsiTheme="majorHAnsi"/>
          <w:color w:val="036575" w:themeColor="accent5" w:themeTint="E6"/>
          <w:sz w:val="22"/>
          <w:szCs w:val="22"/>
        </w:rPr>
      </w:pPr>
    </w:p>
    <w:p w14:paraId="0E9F8FA2" w14:textId="7F6C4614" w:rsidR="00A52582" w:rsidRPr="00730CC1" w:rsidRDefault="00AF1C3D" w:rsidP="000B63D3">
      <w:pPr>
        <w:pStyle w:val="Text"/>
        <w:numPr>
          <w:ilvl w:val="0"/>
          <w:numId w:val="21"/>
        </w:numPr>
        <w:rPr>
          <w:color w:val="036575" w:themeColor="accent5" w:themeTint="E6"/>
        </w:rPr>
      </w:pPr>
      <w:r w:rsidRPr="00730CC1">
        <w:rPr>
          <w:rFonts w:asciiTheme="majorHAnsi" w:hAnsiTheme="majorHAnsi"/>
          <w:color w:val="036575" w:themeColor="accent5" w:themeTint="E6"/>
          <w:sz w:val="22"/>
        </w:rPr>
        <w:t>Kaip reikėtų stiprinti institucijų ir paramos gavėjų administracinius gebėjimus? (Siūlymai pateikiami atsižvelgiant į esamą situaciją.)</w:t>
      </w:r>
    </w:p>
    <w:p w14:paraId="57AFBDD2" w14:textId="6C671ED9" w:rsidR="00456F36" w:rsidRPr="00730CC1" w:rsidRDefault="00157829" w:rsidP="00157829">
      <w:pPr>
        <w:spacing w:after="200"/>
        <w:ind w:left="363"/>
        <w:jc w:val="both"/>
        <w:rPr>
          <w:rFonts w:asciiTheme="majorHAnsi" w:hAnsiTheme="majorHAnsi"/>
          <w:sz w:val="22"/>
        </w:rPr>
      </w:pPr>
      <w:r w:rsidRPr="00730CC1">
        <w:rPr>
          <w:rFonts w:asciiTheme="majorHAnsi" w:hAnsiTheme="majorHAnsi"/>
          <w:sz w:val="22"/>
        </w:rPr>
        <w:t xml:space="preserve">Nors už VP rengimą ir įgyvendinimą atsakingos institucijos yra sukaupusios naudingos kitų programų, nukreiptų į skurdo mažinimą ir socialinės įtraukties skatinimą,  įgyvendinimo  patirties, Fondo remiamos veiklos joms yra nauja intervencijų sritis. Todėl VP projekte numatyta techninė parama administraciniams gebėjimams stiprinti yra reikalinga norint užtikrinti efektyvų VP administravimą, nes suteikia galimybes ne tik </w:t>
      </w:r>
      <w:r w:rsidR="00456F36" w:rsidRPr="00730CC1">
        <w:rPr>
          <w:rFonts w:asciiTheme="majorHAnsi" w:hAnsiTheme="majorHAnsi"/>
          <w:sz w:val="22"/>
        </w:rPr>
        <w:t>finansuoti papildomas programos metu patiriamas administravimo išlaidas, bet ir sustiprinti žmogiškuosius pajėgumus. Administracinių gebėjimų stiprinimo priemonės yra aktualios ir partnerių organizacijoms, dalis kurių pirmą kartą dalyvaus įgyvendinant paramos maisto produktais ir būtinojo vartojimo prekėmis veiklas. Todėl siekiant sustiprinti institucijų ir paramos gavėjų administracinius gebėjimus</w:t>
      </w:r>
      <w:r w:rsidR="005619E5">
        <w:rPr>
          <w:rFonts w:asciiTheme="majorHAnsi" w:hAnsiTheme="majorHAnsi"/>
          <w:sz w:val="22"/>
        </w:rPr>
        <w:t>,</w:t>
      </w:r>
      <w:r w:rsidR="00456F36" w:rsidRPr="00730CC1">
        <w:rPr>
          <w:rFonts w:asciiTheme="majorHAnsi" w:hAnsiTheme="majorHAnsi"/>
          <w:sz w:val="22"/>
        </w:rPr>
        <w:t xml:space="preserve"> naudingos būtų šios priemonės:</w:t>
      </w:r>
    </w:p>
    <w:p w14:paraId="5B0F34C8" w14:textId="577003B2" w:rsidR="00C903F5" w:rsidRPr="00730CC1" w:rsidRDefault="00456F36" w:rsidP="00C903F5">
      <w:pPr>
        <w:pStyle w:val="ListParagraph"/>
        <w:numPr>
          <w:ilvl w:val="0"/>
          <w:numId w:val="25"/>
        </w:numPr>
        <w:spacing w:after="200"/>
        <w:ind w:left="794"/>
        <w:jc w:val="both"/>
        <w:rPr>
          <w:rFonts w:asciiTheme="majorHAnsi" w:hAnsiTheme="majorHAnsi"/>
          <w:sz w:val="22"/>
        </w:rPr>
      </w:pPr>
      <w:r w:rsidRPr="00730CC1">
        <w:rPr>
          <w:rFonts w:asciiTheme="majorHAnsi" w:hAnsiTheme="majorHAnsi"/>
          <w:sz w:val="22"/>
        </w:rPr>
        <w:t>Mokymai partner</w:t>
      </w:r>
      <w:r w:rsidR="008F4C39">
        <w:rPr>
          <w:rFonts w:asciiTheme="majorHAnsi" w:hAnsiTheme="majorHAnsi"/>
          <w:sz w:val="22"/>
        </w:rPr>
        <w:t>ių</w:t>
      </w:r>
      <w:r w:rsidRPr="00730CC1">
        <w:rPr>
          <w:rFonts w:asciiTheme="majorHAnsi" w:hAnsiTheme="majorHAnsi"/>
          <w:sz w:val="22"/>
        </w:rPr>
        <w:t xml:space="preserve"> organizacijo</w:t>
      </w:r>
      <w:r w:rsidR="008F4C39">
        <w:rPr>
          <w:rFonts w:asciiTheme="majorHAnsi" w:hAnsiTheme="majorHAnsi"/>
          <w:sz w:val="22"/>
        </w:rPr>
        <w:t>m</w:t>
      </w:r>
      <w:r w:rsidRPr="00730CC1">
        <w:rPr>
          <w:rFonts w:asciiTheme="majorHAnsi" w:hAnsiTheme="majorHAnsi"/>
          <w:sz w:val="22"/>
        </w:rPr>
        <w:t>s, skirt</w:t>
      </w:r>
      <w:r w:rsidR="008F4C39">
        <w:rPr>
          <w:rFonts w:asciiTheme="majorHAnsi" w:hAnsiTheme="majorHAnsi"/>
          <w:sz w:val="22"/>
        </w:rPr>
        <w:t>i</w:t>
      </w:r>
      <w:r w:rsidRPr="00730CC1">
        <w:rPr>
          <w:rFonts w:asciiTheme="majorHAnsi" w:hAnsiTheme="majorHAnsi"/>
          <w:sz w:val="22"/>
        </w:rPr>
        <w:t xml:space="preserve"> pagerin</w:t>
      </w:r>
      <w:r w:rsidR="00C903F5" w:rsidRPr="00730CC1">
        <w:rPr>
          <w:rFonts w:asciiTheme="majorHAnsi" w:hAnsiTheme="majorHAnsi"/>
          <w:sz w:val="22"/>
        </w:rPr>
        <w:t>ti jų projektų valdymo įgūdžius.</w:t>
      </w:r>
    </w:p>
    <w:p w14:paraId="330556C9" w14:textId="77777777" w:rsidR="00C903F5" w:rsidRPr="00730CC1" w:rsidRDefault="00C903F5" w:rsidP="00C903F5">
      <w:pPr>
        <w:pStyle w:val="ListParagraph"/>
        <w:spacing w:after="200"/>
        <w:ind w:left="794"/>
        <w:jc w:val="both"/>
        <w:rPr>
          <w:rFonts w:asciiTheme="majorHAnsi" w:hAnsiTheme="majorHAnsi"/>
          <w:sz w:val="16"/>
          <w:szCs w:val="16"/>
        </w:rPr>
      </w:pPr>
    </w:p>
    <w:p w14:paraId="013C5866" w14:textId="173B02DB" w:rsidR="00456F36" w:rsidRPr="00730CC1" w:rsidRDefault="00456F36" w:rsidP="00C903F5">
      <w:pPr>
        <w:pStyle w:val="ListParagraph"/>
        <w:numPr>
          <w:ilvl w:val="0"/>
          <w:numId w:val="25"/>
        </w:numPr>
        <w:spacing w:after="200"/>
        <w:ind w:left="794"/>
        <w:jc w:val="both"/>
        <w:rPr>
          <w:rFonts w:asciiTheme="majorHAnsi" w:hAnsiTheme="majorHAnsi"/>
          <w:sz w:val="22"/>
        </w:rPr>
      </w:pPr>
      <w:r w:rsidRPr="00730CC1">
        <w:rPr>
          <w:rFonts w:asciiTheme="majorHAnsi" w:hAnsiTheme="majorHAnsi"/>
          <w:sz w:val="22"/>
        </w:rPr>
        <w:t xml:space="preserve">Dalinimasis patirtimi, įgyta įgyvendinant paramos maistu ir būtinojo vartojimo prekėmis veiklas, kurias sukaupė tokios organizacijos kaip VĮ Lietuvos žemės ūkio ir maisto produktų rinkos reguliavimo agentūra, </w:t>
      </w:r>
      <w:proofErr w:type="spellStart"/>
      <w:r w:rsidRPr="00730CC1">
        <w:rPr>
          <w:rFonts w:asciiTheme="majorHAnsi" w:hAnsiTheme="majorHAnsi"/>
          <w:sz w:val="22"/>
        </w:rPr>
        <w:t>VšĮ</w:t>
      </w:r>
      <w:proofErr w:type="spellEnd"/>
      <w:r w:rsidRPr="00730CC1">
        <w:rPr>
          <w:rFonts w:asciiTheme="majorHAnsi" w:hAnsiTheme="majorHAnsi"/>
          <w:sz w:val="22"/>
        </w:rPr>
        <w:t xml:space="preserve"> „Maisto bankas“, Lietuvos raudonojo kryžiaus draugija, kitos organizacijos, dirbančios su skurdą ir socialinę a</w:t>
      </w:r>
      <w:r w:rsidR="00C903F5" w:rsidRPr="00730CC1">
        <w:rPr>
          <w:rFonts w:asciiTheme="majorHAnsi" w:hAnsiTheme="majorHAnsi"/>
          <w:sz w:val="22"/>
        </w:rPr>
        <w:t>tskirtį patiriančiais asmenimis (organizuojant susitikimus arba virtualią konsultacijų platformą).</w:t>
      </w:r>
    </w:p>
    <w:p w14:paraId="5E199D91" w14:textId="77777777" w:rsidR="00456F36" w:rsidRPr="00730CC1" w:rsidRDefault="00456F36" w:rsidP="00456F36">
      <w:pPr>
        <w:spacing w:after="200"/>
        <w:ind w:left="720"/>
        <w:jc w:val="both"/>
        <w:rPr>
          <w:rFonts w:asciiTheme="majorHAnsi" w:hAnsiTheme="majorHAnsi"/>
          <w:sz w:val="22"/>
        </w:rPr>
      </w:pPr>
    </w:p>
    <w:p w14:paraId="686C774F" w14:textId="61A054CB" w:rsidR="00FB736A" w:rsidRPr="00730CC1" w:rsidRDefault="00FB736A" w:rsidP="00456F36">
      <w:pPr>
        <w:spacing w:after="200"/>
        <w:jc w:val="both"/>
        <w:rPr>
          <w:rFonts w:asciiTheme="majorHAnsi" w:hAnsiTheme="majorHAnsi"/>
          <w:noProof/>
          <w:sz w:val="22"/>
        </w:rPr>
      </w:pPr>
      <w:r w:rsidRPr="00730CC1">
        <w:rPr>
          <w:rFonts w:asciiTheme="majorHAnsi" w:hAnsiTheme="majorHAnsi"/>
          <w:sz w:val="22"/>
        </w:rPr>
        <w:br w:type="page"/>
      </w:r>
    </w:p>
    <w:p w14:paraId="227A3FD7" w14:textId="7E163F46" w:rsidR="00FB736A" w:rsidRPr="00730CC1" w:rsidRDefault="00FB736A" w:rsidP="00FB736A">
      <w:pPr>
        <w:pStyle w:val="Heading2"/>
        <w:numPr>
          <w:ilvl w:val="0"/>
          <w:numId w:val="0"/>
        </w:numPr>
        <w:ind w:left="680" w:hanging="680"/>
        <w:rPr>
          <w:rStyle w:val="Heading1Char"/>
        </w:rPr>
      </w:pPr>
      <w:bookmarkStart w:id="8" w:name="_Toc393467610"/>
      <w:r w:rsidRPr="00730CC1">
        <w:rPr>
          <w:rStyle w:val="Heading1Char"/>
        </w:rPr>
        <w:lastRenderedPageBreak/>
        <w:t>LITERATŪROS IR ŠALTINIŲ SĄRAŠAS</w:t>
      </w:r>
      <w:bookmarkEnd w:id="8"/>
    </w:p>
    <w:p w14:paraId="6840130F" w14:textId="104B861B" w:rsidR="000160CE" w:rsidRPr="00730CC1" w:rsidRDefault="000160CE" w:rsidP="000160CE">
      <w:pPr>
        <w:pStyle w:val="Text"/>
        <w:ind w:left="0"/>
        <w:rPr>
          <w:b/>
          <w:color w:val="036575" w:themeColor="accent5" w:themeTint="E6"/>
        </w:rPr>
      </w:pPr>
      <w:r w:rsidRPr="00730CC1">
        <w:rPr>
          <w:b/>
          <w:color w:val="036575" w:themeColor="accent5" w:themeTint="E6"/>
        </w:rPr>
        <w:t>Informacijos šaltiniai</w:t>
      </w:r>
    </w:p>
    <w:p w14:paraId="184966EB" w14:textId="77777777" w:rsidR="000160CE" w:rsidRPr="00730CC1" w:rsidRDefault="000160CE" w:rsidP="000160CE">
      <w:pPr>
        <w:pStyle w:val="FootnoteText"/>
        <w:numPr>
          <w:ilvl w:val="0"/>
          <w:numId w:val="24"/>
        </w:numPr>
        <w:spacing w:after="120"/>
        <w:jc w:val="both"/>
        <w:rPr>
          <w:sz w:val="22"/>
          <w:szCs w:val="22"/>
        </w:rPr>
      </w:pPr>
      <w:r w:rsidRPr="00730CC1">
        <w:rPr>
          <w:sz w:val="22"/>
          <w:szCs w:val="22"/>
        </w:rPr>
        <w:t xml:space="preserve">2014 m. kovo 11 d. Europos Parlamento ir Tarybos reglamentas (ES) Nr. 223/2014 dėl Europos pagalbos labiausiai skurstantiems asmenims fondo. </w:t>
      </w:r>
      <w:r w:rsidRPr="00730CC1">
        <w:rPr>
          <w:i/>
          <w:sz w:val="22"/>
          <w:szCs w:val="22"/>
        </w:rPr>
        <w:t>Europos Sąjungos oficialusis leidinys</w:t>
      </w:r>
      <w:r w:rsidRPr="00730CC1">
        <w:rPr>
          <w:sz w:val="22"/>
          <w:szCs w:val="22"/>
        </w:rPr>
        <w:t>, 2014-03-12.</w:t>
      </w:r>
    </w:p>
    <w:p w14:paraId="52FDFD91" w14:textId="77777777" w:rsidR="000160CE" w:rsidRPr="00730CC1" w:rsidRDefault="000160CE" w:rsidP="000160CE">
      <w:pPr>
        <w:pStyle w:val="FootnoteText"/>
        <w:numPr>
          <w:ilvl w:val="0"/>
          <w:numId w:val="24"/>
        </w:numPr>
        <w:spacing w:after="120"/>
        <w:jc w:val="both"/>
        <w:rPr>
          <w:sz w:val="22"/>
          <w:szCs w:val="22"/>
        </w:rPr>
      </w:pPr>
      <w:r w:rsidRPr="00730CC1">
        <w:rPr>
          <w:sz w:val="22"/>
          <w:szCs w:val="22"/>
        </w:rPr>
        <w:t>2014 m. kovo 31 d. LR socialinės apsaugos ir darbo ministro įsakymas Nr. A1-175 „Dėl 2014–2020 metų iš Europos pagalbos labiausiai skurstantiems asmenims fondo stebėsenos komiteto personalinės sudėties patvirtinimo“.</w:t>
      </w:r>
    </w:p>
    <w:p w14:paraId="74F5865A" w14:textId="77777777" w:rsidR="000160CE" w:rsidRPr="00730CC1" w:rsidRDefault="000160CE" w:rsidP="000160CE">
      <w:pPr>
        <w:pStyle w:val="FootnoteText"/>
        <w:numPr>
          <w:ilvl w:val="0"/>
          <w:numId w:val="24"/>
        </w:numPr>
        <w:spacing w:after="120"/>
        <w:jc w:val="both"/>
        <w:rPr>
          <w:i/>
          <w:sz w:val="22"/>
          <w:szCs w:val="22"/>
        </w:rPr>
      </w:pPr>
      <w:r w:rsidRPr="00730CC1">
        <w:rPr>
          <w:sz w:val="22"/>
          <w:szCs w:val="22"/>
        </w:rPr>
        <w:t>2014 m. sausio 22 d. Lietuvos Respublikos Vyriausybės nutarimas Nr. 55 „Dėl institucijų, atsakingų už Europos pagalbos labiausiai skurstantiems asmenims fondo administravimą Lietuvoje, paskyrimą“.</w:t>
      </w:r>
    </w:p>
    <w:p w14:paraId="0A30335E" w14:textId="77777777" w:rsidR="000160CE" w:rsidRPr="00730CC1" w:rsidRDefault="000160CE" w:rsidP="000160CE">
      <w:pPr>
        <w:pStyle w:val="FootnoteText"/>
        <w:numPr>
          <w:ilvl w:val="0"/>
          <w:numId w:val="24"/>
        </w:numPr>
        <w:spacing w:after="120"/>
        <w:jc w:val="both"/>
        <w:rPr>
          <w:sz w:val="22"/>
          <w:szCs w:val="22"/>
        </w:rPr>
      </w:pPr>
      <w:r w:rsidRPr="00730CC1">
        <w:rPr>
          <w:sz w:val="22"/>
          <w:szCs w:val="22"/>
        </w:rPr>
        <w:t>2014 m. sausio 31 d. LR socialinės apsaugos ir darbo ministro įsakymas Nr. A1-60 „Dėl 2014–2020 metų iš Europos pagalbos labiausiai skurstantiems asmenims fondo lėšų planuojamų bendrai finansuoti valstybės projektų atrankos laikinosios tvarkos aprašo patvirtinimo“, Teisės aktų registras, 2014-02-03, Nr. 2014-00863.</w:t>
      </w:r>
    </w:p>
    <w:p w14:paraId="762F5C9C" w14:textId="77777777" w:rsidR="000160CE" w:rsidRPr="00730CC1" w:rsidRDefault="000160CE" w:rsidP="000160CE">
      <w:pPr>
        <w:pStyle w:val="FootnoteText"/>
        <w:numPr>
          <w:ilvl w:val="0"/>
          <w:numId w:val="24"/>
        </w:numPr>
        <w:spacing w:after="120"/>
        <w:jc w:val="both"/>
        <w:rPr>
          <w:sz w:val="22"/>
          <w:szCs w:val="22"/>
        </w:rPr>
      </w:pPr>
      <w:r w:rsidRPr="00730CC1">
        <w:rPr>
          <w:sz w:val="22"/>
          <w:szCs w:val="22"/>
        </w:rPr>
        <w:t xml:space="preserve">Europos Komisija, Tarybos rekomendacija dėl 2014 m. Lietuvos nacionalinės reformų programos su Tarybos nuomone dėl 2014 m. Lietuvos konvergencijos programos. Briuselis 2014 m. </w:t>
      </w:r>
      <w:hyperlink r:id="rId12" w:history="1">
        <w:r w:rsidRPr="00730CC1">
          <w:rPr>
            <w:rStyle w:val="Hyperlink"/>
            <w:sz w:val="22"/>
            <w:szCs w:val="22"/>
          </w:rPr>
          <w:t>http://ec.europa.eu/europe2020/pdf/csr2014/csr2014_lithuania_lt.pdf</w:t>
        </w:r>
      </w:hyperlink>
      <w:r w:rsidRPr="00730CC1">
        <w:rPr>
          <w:sz w:val="22"/>
          <w:szCs w:val="22"/>
        </w:rPr>
        <w:t xml:space="preserve"> </w:t>
      </w:r>
    </w:p>
    <w:p w14:paraId="1200C71C" w14:textId="77777777" w:rsidR="000160CE" w:rsidRPr="00730CC1" w:rsidRDefault="000160CE" w:rsidP="000160CE">
      <w:pPr>
        <w:pStyle w:val="ListParagraph"/>
        <w:numPr>
          <w:ilvl w:val="0"/>
          <w:numId w:val="24"/>
        </w:numPr>
        <w:autoSpaceDE w:val="0"/>
        <w:autoSpaceDN w:val="0"/>
        <w:adjustRightInd w:val="0"/>
        <w:spacing w:after="120"/>
        <w:jc w:val="both"/>
        <w:rPr>
          <w:rFonts w:cs="Calibri"/>
          <w:sz w:val="22"/>
        </w:rPr>
      </w:pPr>
      <w:r w:rsidRPr="00730CC1">
        <w:rPr>
          <w:rFonts w:cs="Calibri"/>
          <w:sz w:val="22"/>
        </w:rPr>
        <w:t>Europos Komisijos komunikatas „2020 m. Europa. Pažangaus, tvaraus ir integracinio augimo strategija”. KOM(2010) 2020 galutinis, 2010-12-03.</w:t>
      </w:r>
    </w:p>
    <w:p w14:paraId="42E32901" w14:textId="77777777" w:rsidR="000160CE" w:rsidRPr="00730CC1" w:rsidRDefault="000160CE" w:rsidP="000160CE">
      <w:pPr>
        <w:pStyle w:val="FootnoteText"/>
        <w:numPr>
          <w:ilvl w:val="0"/>
          <w:numId w:val="24"/>
        </w:numPr>
        <w:spacing w:after="120"/>
        <w:jc w:val="both"/>
        <w:rPr>
          <w:sz w:val="22"/>
          <w:szCs w:val="22"/>
        </w:rPr>
      </w:pPr>
      <w:r w:rsidRPr="00730CC1">
        <w:rPr>
          <w:sz w:val="22"/>
          <w:szCs w:val="22"/>
        </w:rPr>
        <w:t>Europos Komisijos komunikatas „Europos kovos sus skurdu ir socialine atskirtimi planas. Europos socialinės ir teritorinės sanglaudos bendroji programa“. KOM (2010) 0758 galutinis, 2010-12-16.</w:t>
      </w:r>
    </w:p>
    <w:p w14:paraId="1FA8EF2C" w14:textId="77777777" w:rsidR="000160CE" w:rsidRPr="00730CC1" w:rsidRDefault="000160CE" w:rsidP="000160CE">
      <w:pPr>
        <w:pStyle w:val="FootnoteText"/>
        <w:numPr>
          <w:ilvl w:val="0"/>
          <w:numId w:val="24"/>
        </w:numPr>
        <w:spacing w:after="120"/>
        <w:jc w:val="both"/>
        <w:rPr>
          <w:sz w:val="22"/>
          <w:szCs w:val="22"/>
        </w:rPr>
      </w:pPr>
      <w:proofErr w:type="spellStart"/>
      <w:r w:rsidRPr="005D34E8">
        <w:rPr>
          <w:i/>
          <w:sz w:val="22"/>
          <w:szCs w:val="22"/>
        </w:rPr>
        <w:t>Eurostat</w:t>
      </w:r>
      <w:proofErr w:type="spellEnd"/>
      <w:r w:rsidRPr="00730CC1">
        <w:rPr>
          <w:sz w:val="22"/>
          <w:szCs w:val="22"/>
        </w:rPr>
        <w:t xml:space="preserve"> duomenys. </w:t>
      </w:r>
    </w:p>
    <w:p w14:paraId="2EEC1C5D" w14:textId="77777777" w:rsidR="000160CE" w:rsidRPr="00730CC1" w:rsidRDefault="000160CE" w:rsidP="000160CE">
      <w:pPr>
        <w:pStyle w:val="FootnoteText"/>
        <w:numPr>
          <w:ilvl w:val="0"/>
          <w:numId w:val="24"/>
        </w:numPr>
        <w:spacing w:after="120"/>
        <w:jc w:val="both"/>
        <w:rPr>
          <w:sz w:val="22"/>
          <w:szCs w:val="22"/>
        </w:rPr>
      </w:pPr>
      <w:r w:rsidRPr="00730CC1">
        <w:rPr>
          <w:sz w:val="22"/>
          <w:szCs w:val="22"/>
        </w:rPr>
        <w:t>Lietuva: 2013 m. Nacionalinė reformų darbotvarkė. Vilnius, 2013.</w:t>
      </w:r>
    </w:p>
    <w:p w14:paraId="3308EA29" w14:textId="7F4AA092" w:rsidR="000160CE" w:rsidRPr="00730CC1" w:rsidRDefault="000160CE" w:rsidP="000160CE">
      <w:pPr>
        <w:pStyle w:val="FootnoteText"/>
        <w:numPr>
          <w:ilvl w:val="0"/>
          <w:numId w:val="24"/>
        </w:numPr>
        <w:spacing w:after="120"/>
        <w:jc w:val="both"/>
        <w:rPr>
          <w:sz w:val="22"/>
          <w:szCs w:val="22"/>
        </w:rPr>
      </w:pPr>
      <w:r w:rsidRPr="00730CC1">
        <w:rPr>
          <w:sz w:val="22"/>
          <w:szCs w:val="22"/>
        </w:rPr>
        <w:t>Lietuvos 2014</w:t>
      </w:r>
      <w:r w:rsidR="005619E5">
        <w:rPr>
          <w:sz w:val="22"/>
          <w:szCs w:val="22"/>
        </w:rPr>
        <w:t>–</w:t>
      </w:r>
      <w:r w:rsidRPr="00730CC1">
        <w:rPr>
          <w:sz w:val="22"/>
          <w:szCs w:val="22"/>
        </w:rPr>
        <w:t xml:space="preserve">2020 m. ES struktūrinių fondų investicijų veiksmų programos projektas, 2014 m. kovo 5 d., </w:t>
      </w:r>
      <w:hyperlink r:id="rId13" w:anchor="VP" w:history="1">
        <w:r w:rsidRPr="00730CC1">
          <w:rPr>
            <w:rStyle w:val="Hyperlink"/>
            <w:sz w:val="22"/>
            <w:szCs w:val="22"/>
          </w:rPr>
          <w:t>http://www.esparama.lt/strateginiai-dokumentai1#VP</w:t>
        </w:r>
      </w:hyperlink>
      <w:r w:rsidRPr="00730CC1">
        <w:rPr>
          <w:sz w:val="22"/>
          <w:szCs w:val="22"/>
        </w:rPr>
        <w:t xml:space="preserve"> .</w:t>
      </w:r>
    </w:p>
    <w:p w14:paraId="780C0095" w14:textId="77777777" w:rsidR="000160CE" w:rsidRPr="00730CC1" w:rsidRDefault="000160CE" w:rsidP="000160CE">
      <w:pPr>
        <w:pStyle w:val="FootnoteText"/>
        <w:numPr>
          <w:ilvl w:val="0"/>
          <w:numId w:val="24"/>
        </w:numPr>
        <w:spacing w:after="120"/>
        <w:jc w:val="both"/>
        <w:rPr>
          <w:sz w:val="22"/>
          <w:szCs w:val="22"/>
        </w:rPr>
      </w:pPr>
      <w:proofErr w:type="spellStart"/>
      <w:r w:rsidRPr="00730CC1">
        <w:rPr>
          <w:sz w:val="22"/>
          <w:szCs w:val="22"/>
        </w:rPr>
        <w:t>Regulation</w:t>
      </w:r>
      <w:proofErr w:type="spellEnd"/>
      <w:r w:rsidRPr="00730CC1">
        <w:rPr>
          <w:sz w:val="22"/>
          <w:szCs w:val="22"/>
        </w:rPr>
        <w:t xml:space="preserve"> (EU) No 1303/2013 </w:t>
      </w:r>
      <w:proofErr w:type="spellStart"/>
      <w:r w:rsidRPr="00730CC1">
        <w:rPr>
          <w:sz w:val="22"/>
          <w:szCs w:val="22"/>
        </w:rPr>
        <w:t>of</w:t>
      </w:r>
      <w:proofErr w:type="spellEnd"/>
      <w:r w:rsidRPr="00730CC1">
        <w:rPr>
          <w:sz w:val="22"/>
          <w:szCs w:val="22"/>
        </w:rPr>
        <w:t xml:space="preserve"> </w:t>
      </w:r>
      <w:proofErr w:type="spellStart"/>
      <w:r w:rsidRPr="00730CC1">
        <w:rPr>
          <w:sz w:val="22"/>
          <w:szCs w:val="22"/>
        </w:rPr>
        <w:t>the</w:t>
      </w:r>
      <w:proofErr w:type="spellEnd"/>
      <w:r w:rsidRPr="00730CC1">
        <w:rPr>
          <w:sz w:val="22"/>
          <w:szCs w:val="22"/>
        </w:rPr>
        <w:t xml:space="preserve"> </w:t>
      </w:r>
      <w:proofErr w:type="spellStart"/>
      <w:r w:rsidRPr="00730CC1">
        <w:rPr>
          <w:sz w:val="22"/>
          <w:szCs w:val="22"/>
        </w:rPr>
        <w:t>European</w:t>
      </w:r>
      <w:proofErr w:type="spellEnd"/>
      <w:r w:rsidRPr="00730CC1">
        <w:rPr>
          <w:sz w:val="22"/>
          <w:szCs w:val="22"/>
        </w:rPr>
        <w:t xml:space="preserve"> </w:t>
      </w:r>
      <w:proofErr w:type="spellStart"/>
      <w:r w:rsidRPr="00730CC1">
        <w:rPr>
          <w:sz w:val="22"/>
          <w:szCs w:val="22"/>
        </w:rPr>
        <w:t>parliament</w:t>
      </w:r>
      <w:proofErr w:type="spellEnd"/>
      <w:r w:rsidRPr="00730CC1">
        <w:rPr>
          <w:sz w:val="22"/>
          <w:szCs w:val="22"/>
        </w:rPr>
        <w:t xml:space="preserve"> </w:t>
      </w:r>
      <w:proofErr w:type="spellStart"/>
      <w:r w:rsidRPr="00730CC1">
        <w:rPr>
          <w:sz w:val="22"/>
          <w:szCs w:val="22"/>
        </w:rPr>
        <w:t>and</w:t>
      </w:r>
      <w:proofErr w:type="spellEnd"/>
      <w:r w:rsidRPr="00730CC1">
        <w:rPr>
          <w:sz w:val="22"/>
          <w:szCs w:val="22"/>
        </w:rPr>
        <w:t xml:space="preserve"> </w:t>
      </w:r>
      <w:proofErr w:type="spellStart"/>
      <w:r w:rsidRPr="00730CC1">
        <w:rPr>
          <w:sz w:val="22"/>
          <w:szCs w:val="22"/>
        </w:rPr>
        <w:t>of</w:t>
      </w:r>
      <w:proofErr w:type="spellEnd"/>
      <w:r w:rsidRPr="00730CC1">
        <w:rPr>
          <w:sz w:val="22"/>
          <w:szCs w:val="22"/>
        </w:rPr>
        <w:t xml:space="preserve"> </w:t>
      </w:r>
      <w:proofErr w:type="spellStart"/>
      <w:r w:rsidRPr="00730CC1">
        <w:rPr>
          <w:sz w:val="22"/>
          <w:szCs w:val="22"/>
        </w:rPr>
        <w:t>the</w:t>
      </w:r>
      <w:proofErr w:type="spellEnd"/>
      <w:r w:rsidRPr="00730CC1">
        <w:rPr>
          <w:sz w:val="22"/>
          <w:szCs w:val="22"/>
        </w:rPr>
        <w:t xml:space="preserve"> </w:t>
      </w:r>
      <w:proofErr w:type="spellStart"/>
      <w:r w:rsidRPr="00730CC1">
        <w:rPr>
          <w:sz w:val="22"/>
          <w:szCs w:val="22"/>
        </w:rPr>
        <w:t>Council</w:t>
      </w:r>
      <w:proofErr w:type="spellEnd"/>
      <w:r w:rsidRPr="00730CC1">
        <w:rPr>
          <w:sz w:val="22"/>
          <w:szCs w:val="22"/>
        </w:rPr>
        <w:t xml:space="preserve"> </w:t>
      </w:r>
      <w:proofErr w:type="spellStart"/>
      <w:r w:rsidRPr="00730CC1">
        <w:rPr>
          <w:sz w:val="22"/>
          <w:szCs w:val="22"/>
        </w:rPr>
        <w:t>of</w:t>
      </w:r>
      <w:proofErr w:type="spellEnd"/>
      <w:r w:rsidRPr="00730CC1">
        <w:rPr>
          <w:sz w:val="22"/>
          <w:szCs w:val="22"/>
        </w:rPr>
        <w:t xml:space="preserve"> 17 </w:t>
      </w:r>
      <w:proofErr w:type="spellStart"/>
      <w:r w:rsidRPr="00730CC1">
        <w:rPr>
          <w:sz w:val="22"/>
          <w:szCs w:val="22"/>
        </w:rPr>
        <w:t>December</w:t>
      </w:r>
      <w:proofErr w:type="spellEnd"/>
      <w:r w:rsidRPr="00730CC1">
        <w:rPr>
          <w:sz w:val="22"/>
          <w:szCs w:val="22"/>
        </w:rPr>
        <w:t xml:space="preserve"> 2013 </w:t>
      </w:r>
      <w:proofErr w:type="spellStart"/>
      <w:r w:rsidRPr="00730CC1">
        <w:rPr>
          <w:sz w:val="22"/>
          <w:szCs w:val="22"/>
        </w:rPr>
        <w:t>laying</w:t>
      </w:r>
      <w:proofErr w:type="spellEnd"/>
      <w:r w:rsidRPr="00730CC1">
        <w:rPr>
          <w:sz w:val="22"/>
          <w:szCs w:val="22"/>
        </w:rPr>
        <w:t xml:space="preserve"> </w:t>
      </w:r>
      <w:proofErr w:type="spellStart"/>
      <w:r w:rsidRPr="00730CC1">
        <w:rPr>
          <w:sz w:val="22"/>
          <w:szCs w:val="22"/>
        </w:rPr>
        <w:t>down</w:t>
      </w:r>
      <w:proofErr w:type="spellEnd"/>
      <w:r w:rsidRPr="00730CC1">
        <w:rPr>
          <w:sz w:val="22"/>
          <w:szCs w:val="22"/>
        </w:rPr>
        <w:t xml:space="preserve"> </w:t>
      </w:r>
      <w:proofErr w:type="spellStart"/>
      <w:r w:rsidRPr="00730CC1">
        <w:rPr>
          <w:sz w:val="22"/>
          <w:szCs w:val="22"/>
        </w:rPr>
        <w:t>common</w:t>
      </w:r>
      <w:proofErr w:type="spellEnd"/>
      <w:r w:rsidRPr="00730CC1">
        <w:rPr>
          <w:sz w:val="22"/>
          <w:szCs w:val="22"/>
        </w:rPr>
        <w:t xml:space="preserve"> </w:t>
      </w:r>
      <w:proofErr w:type="spellStart"/>
      <w:r w:rsidRPr="00730CC1">
        <w:rPr>
          <w:sz w:val="22"/>
          <w:szCs w:val="22"/>
        </w:rPr>
        <w:t>provisions</w:t>
      </w:r>
      <w:proofErr w:type="spellEnd"/>
      <w:r w:rsidRPr="00730CC1">
        <w:rPr>
          <w:sz w:val="22"/>
          <w:szCs w:val="22"/>
        </w:rPr>
        <w:t xml:space="preserve"> </w:t>
      </w:r>
      <w:proofErr w:type="spellStart"/>
      <w:r w:rsidRPr="00730CC1">
        <w:rPr>
          <w:sz w:val="22"/>
          <w:szCs w:val="22"/>
        </w:rPr>
        <w:t>on</w:t>
      </w:r>
      <w:proofErr w:type="spellEnd"/>
      <w:r w:rsidRPr="00730CC1">
        <w:rPr>
          <w:sz w:val="22"/>
          <w:szCs w:val="22"/>
        </w:rPr>
        <w:t xml:space="preserve"> </w:t>
      </w:r>
      <w:proofErr w:type="spellStart"/>
      <w:r w:rsidRPr="00730CC1">
        <w:rPr>
          <w:sz w:val="22"/>
          <w:szCs w:val="22"/>
        </w:rPr>
        <w:t>the</w:t>
      </w:r>
      <w:proofErr w:type="spellEnd"/>
      <w:r w:rsidRPr="00730CC1">
        <w:rPr>
          <w:sz w:val="22"/>
          <w:szCs w:val="22"/>
        </w:rPr>
        <w:t xml:space="preserve"> </w:t>
      </w:r>
      <w:proofErr w:type="spellStart"/>
      <w:r w:rsidRPr="00730CC1">
        <w:rPr>
          <w:sz w:val="22"/>
          <w:szCs w:val="22"/>
        </w:rPr>
        <w:t>European</w:t>
      </w:r>
      <w:proofErr w:type="spellEnd"/>
      <w:r w:rsidRPr="00730CC1">
        <w:rPr>
          <w:sz w:val="22"/>
          <w:szCs w:val="22"/>
        </w:rPr>
        <w:t xml:space="preserve"> </w:t>
      </w:r>
      <w:proofErr w:type="spellStart"/>
      <w:r w:rsidRPr="00730CC1">
        <w:rPr>
          <w:sz w:val="22"/>
          <w:szCs w:val="22"/>
        </w:rPr>
        <w:t>Regional</w:t>
      </w:r>
      <w:proofErr w:type="spellEnd"/>
      <w:r w:rsidRPr="00730CC1">
        <w:rPr>
          <w:sz w:val="22"/>
          <w:szCs w:val="22"/>
        </w:rPr>
        <w:t xml:space="preserve"> </w:t>
      </w:r>
      <w:proofErr w:type="spellStart"/>
      <w:r w:rsidRPr="00730CC1">
        <w:rPr>
          <w:sz w:val="22"/>
          <w:szCs w:val="22"/>
        </w:rPr>
        <w:t>Development</w:t>
      </w:r>
      <w:proofErr w:type="spellEnd"/>
      <w:r w:rsidRPr="00730CC1">
        <w:rPr>
          <w:sz w:val="22"/>
          <w:szCs w:val="22"/>
        </w:rPr>
        <w:t xml:space="preserve"> </w:t>
      </w:r>
      <w:proofErr w:type="spellStart"/>
      <w:r w:rsidRPr="00730CC1">
        <w:rPr>
          <w:sz w:val="22"/>
          <w:szCs w:val="22"/>
        </w:rPr>
        <w:t>Fund</w:t>
      </w:r>
      <w:proofErr w:type="spellEnd"/>
      <w:r w:rsidRPr="00730CC1">
        <w:rPr>
          <w:sz w:val="22"/>
          <w:szCs w:val="22"/>
        </w:rPr>
        <w:t xml:space="preserve">, </w:t>
      </w:r>
      <w:proofErr w:type="spellStart"/>
      <w:r w:rsidRPr="00730CC1">
        <w:rPr>
          <w:sz w:val="22"/>
          <w:szCs w:val="22"/>
        </w:rPr>
        <w:t>the</w:t>
      </w:r>
      <w:proofErr w:type="spellEnd"/>
      <w:r w:rsidRPr="00730CC1">
        <w:rPr>
          <w:sz w:val="22"/>
          <w:szCs w:val="22"/>
        </w:rPr>
        <w:t xml:space="preserve"> </w:t>
      </w:r>
      <w:proofErr w:type="spellStart"/>
      <w:r w:rsidRPr="00730CC1">
        <w:rPr>
          <w:sz w:val="22"/>
          <w:szCs w:val="22"/>
        </w:rPr>
        <w:t>European</w:t>
      </w:r>
      <w:proofErr w:type="spellEnd"/>
      <w:r w:rsidRPr="00730CC1">
        <w:rPr>
          <w:sz w:val="22"/>
          <w:szCs w:val="22"/>
        </w:rPr>
        <w:t xml:space="preserve"> </w:t>
      </w:r>
      <w:proofErr w:type="spellStart"/>
      <w:r w:rsidRPr="00730CC1">
        <w:rPr>
          <w:sz w:val="22"/>
          <w:szCs w:val="22"/>
        </w:rPr>
        <w:t>Social</w:t>
      </w:r>
      <w:proofErr w:type="spellEnd"/>
      <w:r w:rsidRPr="00730CC1">
        <w:rPr>
          <w:sz w:val="22"/>
          <w:szCs w:val="22"/>
        </w:rPr>
        <w:t xml:space="preserve"> </w:t>
      </w:r>
      <w:proofErr w:type="spellStart"/>
      <w:r w:rsidRPr="00730CC1">
        <w:rPr>
          <w:sz w:val="22"/>
          <w:szCs w:val="22"/>
        </w:rPr>
        <w:t>Fund</w:t>
      </w:r>
      <w:proofErr w:type="spellEnd"/>
      <w:r w:rsidRPr="00730CC1">
        <w:rPr>
          <w:sz w:val="22"/>
          <w:szCs w:val="22"/>
        </w:rPr>
        <w:t xml:space="preserve">, </w:t>
      </w:r>
      <w:proofErr w:type="spellStart"/>
      <w:r w:rsidRPr="00730CC1">
        <w:rPr>
          <w:sz w:val="22"/>
          <w:szCs w:val="22"/>
        </w:rPr>
        <w:t>the</w:t>
      </w:r>
      <w:proofErr w:type="spellEnd"/>
      <w:r w:rsidRPr="00730CC1">
        <w:rPr>
          <w:sz w:val="22"/>
          <w:szCs w:val="22"/>
        </w:rPr>
        <w:t xml:space="preserve"> </w:t>
      </w:r>
      <w:proofErr w:type="spellStart"/>
      <w:r w:rsidRPr="00730CC1">
        <w:rPr>
          <w:sz w:val="22"/>
          <w:szCs w:val="22"/>
        </w:rPr>
        <w:t>Cohesion</w:t>
      </w:r>
      <w:proofErr w:type="spellEnd"/>
      <w:r w:rsidRPr="00730CC1">
        <w:rPr>
          <w:sz w:val="22"/>
          <w:szCs w:val="22"/>
        </w:rPr>
        <w:t xml:space="preserve"> </w:t>
      </w:r>
      <w:proofErr w:type="spellStart"/>
      <w:r w:rsidRPr="00730CC1">
        <w:rPr>
          <w:sz w:val="22"/>
          <w:szCs w:val="22"/>
        </w:rPr>
        <w:t>Fund</w:t>
      </w:r>
      <w:proofErr w:type="spellEnd"/>
      <w:r w:rsidRPr="00730CC1">
        <w:rPr>
          <w:sz w:val="22"/>
          <w:szCs w:val="22"/>
        </w:rPr>
        <w:t xml:space="preserve">, </w:t>
      </w:r>
      <w:proofErr w:type="spellStart"/>
      <w:r w:rsidRPr="00730CC1">
        <w:rPr>
          <w:sz w:val="22"/>
          <w:szCs w:val="22"/>
        </w:rPr>
        <w:t>the</w:t>
      </w:r>
      <w:proofErr w:type="spellEnd"/>
      <w:r w:rsidRPr="00730CC1">
        <w:rPr>
          <w:sz w:val="22"/>
          <w:szCs w:val="22"/>
        </w:rPr>
        <w:t xml:space="preserve"> </w:t>
      </w:r>
      <w:proofErr w:type="spellStart"/>
      <w:r w:rsidRPr="00730CC1">
        <w:rPr>
          <w:sz w:val="22"/>
          <w:szCs w:val="22"/>
        </w:rPr>
        <w:t>European</w:t>
      </w:r>
      <w:proofErr w:type="spellEnd"/>
      <w:r w:rsidRPr="00730CC1">
        <w:rPr>
          <w:sz w:val="22"/>
          <w:szCs w:val="22"/>
        </w:rPr>
        <w:t xml:space="preserve"> </w:t>
      </w:r>
      <w:proofErr w:type="spellStart"/>
      <w:r w:rsidRPr="00730CC1">
        <w:rPr>
          <w:sz w:val="22"/>
          <w:szCs w:val="22"/>
        </w:rPr>
        <w:t>Agricultural</w:t>
      </w:r>
      <w:proofErr w:type="spellEnd"/>
      <w:r w:rsidRPr="00730CC1">
        <w:rPr>
          <w:sz w:val="22"/>
          <w:szCs w:val="22"/>
        </w:rPr>
        <w:t xml:space="preserve"> </w:t>
      </w:r>
      <w:proofErr w:type="spellStart"/>
      <w:r w:rsidRPr="00730CC1">
        <w:rPr>
          <w:sz w:val="22"/>
          <w:szCs w:val="22"/>
        </w:rPr>
        <w:t>Fund</w:t>
      </w:r>
      <w:proofErr w:type="spellEnd"/>
      <w:r w:rsidRPr="00730CC1">
        <w:rPr>
          <w:sz w:val="22"/>
          <w:szCs w:val="22"/>
        </w:rPr>
        <w:t xml:space="preserve"> </w:t>
      </w:r>
      <w:proofErr w:type="spellStart"/>
      <w:r w:rsidRPr="00730CC1">
        <w:rPr>
          <w:sz w:val="22"/>
          <w:szCs w:val="22"/>
        </w:rPr>
        <w:t>for</w:t>
      </w:r>
      <w:proofErr w:type="spellEnd"/>
      <w:r w:rsidRPr="00730CC1">
        <w:rPr>
          <w:sz w:val="22"/>
          <w:szCs w:val="22"/>
        </w:rPr>
        <w:t xml:space="preserve"> </w:t>
      </w:r>
      <w:proofErr w:type="spellStart"/>
      <w:r w:rsidRPr="00730CC1">
        <w:rPr>
          <w:sz w:val="22"/>
          <w:szCs w:val="22"/>
        </w:rPr>
        <w:t>Rural</w:t>
      </w:r>
      <w:proofErr w:type="spellEnd"/>
      <w:r w:rsidRPr="00730CC1">
        <w:rPr>
          <w:sz w:val="22"/>
          <w:szCs w:val="22"/>
        </w:rPr>
        <w:t xml:space="preserve"> </w:t>
      </w:r>
      <w:proofErr w:type="spellStart"/>
      <w:r w:rsidRPr="00730CC1">
        <w:rPr>
          <w:sz w:val="22"/>
          <w:szCs w:val="22"/>
        </w:rPr>
        <w:t>Development</w:t>
      </w:r>
      <w:proofErr w:type="spellEnd"/>
      <w:r w:rsidRPr="00730CC1">
        <w:rPr>
          <w:sz w:val="22"/>
          <w:szCs w:val="22"/>
        </w:rPr>
        <w:t xml:space="preserve"> </w:t>
      </w:r>
      <w:proofErr w:type="spellStart"/>
      <w:r w:rsidRPr="00730CC1">
        <w:rPr>
          <w:sz w:val="22"/>
          <w:szCs w:val="22"/>
        </w:rPr>
        <w:t>and</w:t>
      </w:r>
      <w:proofErr w:type="spellEnd"/>
      <w:r w:rsidRPr="00730CC1">
        <w:rPr>
          <w:sz w:val="22"/>
          <w:szCs w:val="22"/>
        </w:rPr>
        <w:t xml:space="preserve"> </w:t>
      </w:r>
      <w:proofErr w:type="spellStart"/>
      <w:r w:rsidRPr="00730CC1">
        <w:rPr>
          <w:sz w:val="22"/>
          <w:szCs w:val="22"/>
        </w:rPr>
        <w:t>the</w:t>
      </w:r>
      <w:proofErr w:type="spellEnd"/>
      <w:r w:rsidRPr="00730CC1">
        <w:rPr>
          <w:sz w:val="22"/>
          <w:szCs w:val="22"/>
        </w:rPr>
        <w:t xml:space="preserve"> </w:t>
      </w:r>
      <w:proofErr w:type="spellStart"/>
      <w:r w:rsidRPr="00730CC1">
        <w:rPr>
          <w:sz w:val="22"/>
          <w:szCs w:val="22"/>
        </w:rPr>
        <w:t>European</w:t>
      </w:r>
      <w:proofErr w:type="spellEnd"/>
      <w:r w:rsidRPr="00730CC1">
        <w:rPr>
          <w:sz w:val="22"/>
          <w:szCs w:val="22"/>
        </w:rPr>
        <w:t xml:space="preserve"> </w:t>
      </w:r>
      <w:proofErr w:type="spellStart"/>
      <w:r w:rsidRPr="00730CC1">
        <w:rPr>
          <w:sz w:val="22"/>
          <w:szCs w:val="22"/>
        </w:rPr>
        <w:t>Maritime</w:t>
      </w:r>
      <w:proofErr w:type="spellEnd"/>
      <w:r w:rsidRPr="00730CC1">
        <w:rPr>
          <w:sz w:val="22"/>
          <w:szCs w:val="22"/>
        </w:rPr>
        <w:t xml:space="preserve"> </w:t>
      </w:r>
      <w:proofErr w:type="spellStart"/>
      <w:r w:rsidRPr="00730CC1">
        <w:rPr>
          <w:sz w:val="22"/>
          <w:szCs w:val="22"/>
        </w:rPr>
        <w:t>and</w:t>
      </w:r>
      <w:proofErr w:type="spellEnd"/>
      <w:r w:rsidRPr="00730CC1">
        <w:rPr>
          <w:sz w:val="22"/>
          <w:szCs w:val="22"/>
        </w:rPr>
        <w:t xml:space="preserve"> </w:t>
      </w:r>
      <w:proofErr w:type="spellStart"/>
      <w:r w:rsidRPr="00730CC1">
        <w:rPr>
          <w:sz w:val="22"/>
          <w:szCs w:val="22"/>
        </w:rPr>
        <w:t>Fisheries</w:t>
      </w:r>
      <w:proofErr w:type="spellEnd"/>
      <w:r w:rsidRPr="00730CC1">
        <w:rPr>
          <w:sz w:val="22"/>
          <w:szCs w:val="22"/>
        </w:rPr>
        <w:t xml:space="preserve"> </w:t>
      </w:r>
      <w:proofErr w:type="spellStart"/>
      <w:r w:rsidRPr="00730CC1">
        <w:rPr>
          <w:sz w:val="22"/>
          <w:szCs w:val="22"/>
        </w:rPr>
        <w:t>Fund</w:t>
      </w:r>
      <w:proofErr w:type="spellEnd"/>
      <w:r w:rsidRPr="00730CC1">
        <w:rPr>
          <w:sz w:val="22"/>
          <w:szCs w:val="22"/>
        </w:rPr>
        <w:t xml:space="preserve"> </w:t>
      </w:r>
      <w:proofErr w:type="spellStart"/>
      <w:r w:rsidRPr="00730CC1">
        <w:rPr>
          <w:sz w:val="22"/>
          <w:szCs w:val="22"/>
        </w:rPr>
        <w:t>and</w:t>
      </w:r>
      <w:proofErr w:type="spellEnd"/>
      <w:r w:rsidRPr="00730CC1">
        <w:rPr>
          <w:sz w:val="22"/>
          <w:szCs w:val="22"/>
        </w:rPr>
        <w:t xml:space="preserve"> </w:t>
      </w:r>
      <w:proofErr w:type="spellStart"/>
      <w:r w:rsidRPr="00730CC1">
        <w:rPr>
          <w:sz w:val="22"/>
          <w:szCs w:val="22"/>
        </w:rPr>
        <w:t>laying</w:t>
      </w:r>
      <w:proofErr w:type="spellEnd"/>
      <w:r w:rsidRPr="00730CC1">
        <w:rPr>
          <w:sz w:val="22"/>
          <w:szCs w:val="22"/>
        </w:rPr>
        <w:t xml:space="preserve"> </w:t>
      </w:r>
      <w:proofErr w:type="spellStart"/>
      <w:r w:rsidRPr="00730CC1">
        <w:rPr>
          <w:sz w:val="22"/>
          <w:szCs w:val="22"/>
        </w:rPr>
        <w:t>down</w:t>
      </w:r>
      <w:proofErr w:type="spellEnd"/>
      <w:r w:rsidRPr="00730CC1">
        <w:rPr>
          <w:sz w:val="22"/>
          <w:szCs w:val="22"/>
        </w:rPr>
        <w:t xml:space="preserve"> </w:t>
      </w:r>
      <w:proofErr w:type="spellStart"/>
      <w:r w:rsidRPr="00730CC1">
        <w:rPr>
          <w:sz w:val="22"/>
          <w:szCs w:val="22"/>
        </w:rPr>
        <w:t>general</w:t>
      </w:r>
      <w:proofErr w:type="spellEnd"/>
      <w:r w:rsidRPr="00730CC1">
        <w:rPr>
          <w:sz w:val="22"/>
          <w:szCs w:val="22"/>
        </w:rPr>
        <w:t xml:space="preserve"> </w:t>
      </w:r>
      <w:proofErr w:type="spellStart"/>
      <w:r w:rsidRPr="00730CC1">
        <w:rPr>
          <w:sz w:val="22"/>
          <w:szCs w:val="22"/>
        </w:rPr>
        <w:t>provisions</w:t>
      </w:r>
      <w:proofErr w:type="spellEnd"/>
      <w:r w:rsidRPr="00730CC1">
        <w:rPr>
          <w:sz w:val="22"/>
          <w:szCs w:val="22"/>
        </w:rPr>
        <w:t xml:space="preserve"> </w:t>
      </w:r>
      <w:proofErr w:type="spellStart"/>
      <w:r w:rsidRPr="00730CC1">
        <w:rPr>
          <w:sz w:val="22"/>
          <w:szCs w:val="22"/>
        </w:rPr>
        <w:t>on</w:t>
      </w:r>
      <w:proofErr w:type="spellEnd"/>
      <w:r w:rsidRPr="00730CC1">
        <w:rPr>
          <w:sz w:val="22"/>
          <w:szCs w:val="22"/>
        </w:rPr>
        <w:t xml:space="preserve"> </w:t>
      </w:r>
      <w:proofErr w:type="spellStart"/>
      <w:r w:rsidRPr="00730CC1">
        <w:rPr>
          <w:sz w:val="22"/>
          <w:szCs w:val="22"/>
        </w:rPr>
        <w:t>the</w:t>
      </w:r>
      <w:proofErr w:type="spellEnd"/>
      <w:r w:rsidRPr="00730CC1">
        <w:rPr>
          <w:sz w:val="22"/>
          <w:szCs w:val="22"/>
        </w:rPr>
        <w:t xml:space="preserve"> </w:t>
      </w:r>
      <w:proofErr w:type="spellStart"/>
      <w:r w:rsidRPr="00730CC1">
        <w:rPr>
          <w:sz w:val="22"/>
          <w:szCs w:val="22"/>
        </w:rPr>
        <w:t>on</w:t>
      </w:r>
      <w:proofErr w:type="spellEnd"/>
      <w:r w:rsidRPr="00730CC1">
        <w:rPr>
          <w:sz w:val="22"/>
          <w:szCs w:val="22"/>
        </w:rPr>
        <w:t xml:space="preserve"> </w:t>
      </w:r>
      <w:proofErr w:type="spellStart"/>
      <w:r w:rsidRPr="00730CC1">
        <w:rPr>
          <w:sz w:val="22"/>
          <w:szCs w:val="22"/>
        </w:rPr>
        <w:t>the</w:t>
      </w:r>
      <w:proofErr w:type="spellEnd"/>
      <w:r w:rsidRPr="00730CC1">
        <w:rPr>
          <w:sz w:val="22"/>
          <w:szCs w:val="22"/>
        </w:rPr>
        <w:t xml:space="preserve"> </w:t>
      </w:r>
      <w:proofErr w:type="spellStart"/>
      <w:r w:rsidRPr="00730CC1">
        <w:rPr>
          <w:sz w:val="22"/>
          <w:szCs w:val="22"/>
        </w:rPr>
        <w:t>European</w:t>
      </w:r>
      <w:proofErr w:type="spellEnd"/>
      <w:r w:rsidRPr="00730CC1">
        <w:rPr>
          <w:sz w:val="22"/>
          <w:szCs w:val="22"/>
        </w:rPr>
        <w:t xml:space="preserve"> </w:t>
      </w:r>
      <w:proofErr w:type="spellStart"/>
      <w:r w:rsidRPr="00730CC1">
        <w:rPr>
          <w:sz w:val="22"/>
          <w:szCs w:val="22"/>
        </w:rPr>
        <w:t>Regional</w:t>
      </w:r>
      <w:proofErr w:type="spellEnd"/>
      <w:r w:rsidRPr="00730CC1">
        <w:rPr>
          <w:sz w:val="22"/>
          <w:szCs w:val="22"/>
        </w:rPr>
        <w:t xml:space="preserve"> </w:t>
      </w:r>
      <w:proofErr w:type="spellStart"/>
      <w:r w:rsidRPr="00730CC1">
        <w:rPr>
          <w:sz w:val="22"/>
          <w:szCs w:val="22"/>
        </w:rPr>
        <w:t>Development</w:t>
      </w:r>
      <w:proofErr w:type="spellEnd"/>
      <w:r w:rsidRPr="00730CC1">
        <w:rPr>
          <w:sz w:val="22"/>
          <w:szCs w:val="22"/>
        </w:rPr>
        <w:t xml:space="preserve"> </w:t>
      </w:r>
      <w:proofErr w:type="spellStart"/>
      <w:r w:rsidRPr="00730CC1">
        <w:rPr>
          <w:sz w:val="22"/>
          <w:szCs w:val="22"/>
        </w:rPr>
        <w:t>Fund</w:t>
      </w:r>
      <w:proofErr w:type="spellEnd"/>
      <w:r w:rsidRPr="00730CC1">
        <w:rPr>
          <w:sz w:val="22"/>
          <w:szCs w:val="22"/>
        </w:rPr>
        <w:t xml:space="preserve">, </w:t>
      </w:r>
      <w:proofErr w:type="spellStart"/>
      <w:r w:rsidRPr="00730CC1">
        <w:rPr>
          <w:sz w:val="22"/>
          <w:szCs w:val="22"/>
        </w:rPr>
        <w:t>the</w:t>
      </w:r>
      <w:proofErr w:type="spellEnd"/>
      <w:r w:rsidRPr="00730CC1">
        <w:rPr>
          <w:sz w:val="22"/>
          <w:szCs w:val="22"/>
        </w:rPr>
        <w:t xml:space="preserve"> </w:t>
      </w:r>
      <w:proofErr w:type="spellStart"/>
      <w:r w:rsidRPr="00730CC1">
        <w:rPr>
          <w:sz w:val="22"/>
          <w:szCs w:val="22"/>
        </w:rPr>
        <w:t>European</w:t>
      </w:r>
      <w:proofErr w:type="spellEnd"/>
      <w:r w:rsidRPr="00730CC1">
        <w:rPr>
          <w:sz w:val="22"/>
          <w:szCs w:val="22"/>
        </w:rPr>
        <w:t xml:space="preserve"> </w:t>
      </w:r>
      <w:proofErr w:type="spellStart"/>
      <w:r w:rsidRPr="00730CC1">
        <w:rPr>
          <w:sz w:val="22"/>
          <w:szCs w:val="22"/>
        </w:rPr>
        <w:t>Social</w:t>
      </w:r>
      <w:proofErr w:type="spellEnd"/>
      <w:r w:rsidRPr="00730CC1">
        <w:rPr>
          <w:sz w:val="22"/>
          <w:szCs w:val="22"/>
        </w:rPr>
        <w:t xml:space="preserve"> </w:t>
      </w:r>
      <w:proofErr w:type="spellStart"/>
      <w:r w:rsidRPr="00730CC1">
        <w:rPr>
          <w:sz w:val="22"/>
          <w:szCs w:val="22"/>
        </w:rPr>
        <w:t>Fund</w:t>
      </w:r>
      <w:proofErr w:type="spellEnd"/>
      <w:r w:rsidRPr="00730CC1">
        <w:rPr>
          <w:sz w:val="22"/>
          <w:szCs w:val="22"/>
        </w:rPr>
        <w:t xml:space="preserve">, </w:t>
      </w:r>
      <w:proofErr w:type="spellStart"/>
      <w:r w:rsidRPr="00730CC1">
        <w:rPr>
          <w:sz w:val="22"/>
          <w:szCs w:val="22"/>
        </w:rPr>
        <w:t>the</w:t>
      </w:r>
      <w:proofErr w:type="spellEnd"/>
      <w:r w:rsidRPr="00730CC1">
        <w:rPr>
          <w:sz w:val="22"/>
          <w:szCs w:val="22"/>
        </w:rPr>
        <w:t xml:space="preserve"> </w:t>
      </w:r>
      <w:proofErr w:type="spellStart"/>
      <w:r w:rsidRPr="00730CC1">
        <w:rPr>
          <w:sz w:val="22"/>
          <w:szCs w:val="22"/>
        </w:rPr>
        <w:t>Cohesion</w:t>
      </w:r>
      <w:proofErr w:type="spellEnd"/>
      <w:r w:rsidRPr="00730CC1">
        <w:rPr>
          <w:sz w:val="22"/>
          <w:szCs w:val="22"/>
        </w:rPr>
        <w:t xml:space="preserve"> </w:t>
      </w:r>
      <w:proofErr w:type="spellStart"/>
      <w:r w:rsidRPr="00730CC1">
        <w:rPr>
          <w:sz w:val="22"/>
          <w:szCs w:val="22"/>
        </w:rPr>
        <w:t>Fund</w:t>
      </w:r>
      <w:proofErr w:type="spellEnd"/>
      <w:r w:rsidRPr="00730CC1">
        <w:rPr>
          <w:sz w:val="22"/>
          <w:szCs w:val="22"/>
        </w:rPr>
        <w:t xml:space="preserve"> </w:t>
      </w:r>
      <w:proofErr w:type="spellStart"/>
      <w:r w:rsidRPr="00730CC1">
        <w:rPr>
          <w:sz w:val="22"/>
          <w:szCs w:val="22"/>
        </w:rPr>
        <w:t>and</w:t>
      </w:r>
      <w:proofErr w:type="spellEnd"/>
      <w:r w:rsidRPr="00730CC1">
        <w:rPr>
          <w:sz w:val="22"/>
          <w:szCs w:val="22"/>
        </w:rPr>
        <w:t xml:space="preserve"> </w:t>
      </w:r>
      <w:proofErr w:type="spellStart"/>
      <w:r w:rsidRPr="00730CC1">
        <w:rPr>
          <w:sz w:val="22"/>
          <w:szCs w:val="22"/>
        </w:rPr>
        <w:t>the</w:t>
      </w:r>
      <w:proofErr w:type="spellEnd"/>
      <w:r w:rsidRPr="00730CC1">
        <w:rPr>
          <w:sz w:val="22"/>
          <w:szCs w:val="22"/>
        </w:rPr>
        <w:t xml:space="preserve"> </w:t>
      </w:r>
      <w:proofErr w:type="spellStart"/>
      <w:r w:rsidRPr="00730CC1">
        <w:rPr>
          <w:sz w:val="22"/>
          <w:szCs w:val="22"/>
        </w:rPr>
        <w:t>European</w:t>
      </w:r>
      <w:proofErr w:type="spellEnd"/>
      <w:r w:rsidRPr="00730CC1">
        <w:rPr>
          <w:sz w:val="22"/>
          <w:szCs w:val="22"/>
        </w:rPr>
        <w:t xml:space="preserve"> </w:t>
      </w:r>
      <w:proofErr w:type="spellStart"/>
      <w:r w:rsidRPr="00730CC1">
        <w:rPr>
          <w:sz w:val="22"/>
          <w:szCs w:val="22"/>
        </w:rPr>
        <w:t>Maritime</w:t>
      </w:r>
      <w:proofErr w:type="spellEnd"/>
      <w:r w:rsidRPr="00730CC1">
        <w:rPr>
          <w:sz w:val="22"/>
          <w:szCs w:val="22"/>
        </w:rPr>
        <w:t xml:space="preserve"> </w:t>
      </w:r>
      <w:proofErr w:type="spellStart"/>
      <w:r w:rsidRPr="00730CC1">
        <w:rPr>
          <w:sz w:val="22"/>
          <w:szCs w:val="22"/>
        </w:rPr>
        <w:t>and</w:t>
      </w:r>
      <w:proofErr w:type="spellEnd"/>
      <w:r w:rsidRPr="00730CC1">
        <w:rPr>
          <w:sz w:val="22"/>
          <w:szCs w:val="22"/>
        </w:rPr>
        <w:t xml:space="preserve"> </w:t>
      </w:r>
      <w:proofErr w:type="spellStart"/>
      <w:r w:rsidRPr="00730CC1">
        <w:rPr>
          <w:sz w:val="22"/>
          <w:szCs w:val="22"/>
        </w:rPr>
        <w:t>Fisheries</w:t>
      </w:r>
      <w:proofErr w:type="spellEnd"/>
      <w:r w:rsidRPr="00730CC1">
        <w:rPr>
          <w:sz w:val="22"/>
          <w:szCs w:val="22"/>
        </w:rPr>
        <w:t xml:space="preserve"> </w:t>
      </w:r>
      <w:proofErr w:type="spellStart"/>
      <w:r w:rsidRPr="00730CC1">
        <w:rPr>
          <w:sz w:val="22"/>
          <w:szCs w:val="22"/>
        </w:rPr>
        <w:t>Fund</w:t>
      </w:r>
      <w:proofErr w:type="spellEnd"/>
      <w:r w:rsidRPr="00730CC1">
        <w:rPr>
          <w:sz w:val="22"/>
          <w:szCs w:val="22"/>
        </w:rPr>
        <w:t xml:space="preserve"> </w:t>
      </w:r>
      <w:proofErr w:type="spellStart"/>
      <w:r w:rsidRPr="00730CC1">
        <w:rPr>
          <w:sz w:val="22"/>
          <w:szCs w:val="22"/>
        </w:rPr>
        <w:t>and</w:t>
      </w:r>
      <w:proofErr w:type="spellEnd"/>
      <w:r w:rsidRPr="00730CC1">
        <w:rPr>
          <w:sz w:val="22"/>
          <w:szCs w:val="22"/>
        </w:rPr>
        <w:t xml:space="preserve"> </w:t>
      </w:r>
      <w:proofErr w:type="spellStart"/>
      <w:r w:rsidRPr="00730CC1">
        <w:rPr>
          <w:sz w:val="22"/>
          <w:szCs w:val="22"/>
        </w:rPr>
        <w:t>repealing</w:t>
      </w:r>
      <w:proofErr w:type="spellEnd"/>
      <w:r w:rsidRPr="00730CC1">
        <w:rPr>
          <w:sz w:val="22"/>
          <w:szCs w:val="22"/>
        </w:rPr>
        <w:t xml:space="preserve"> </w:t>
      </w:r>
      <w:proofErr w:type="spellStart"/>
      <w:r w:rsidRPr="00730CC1">
        <w:rPr>
          <w:sz w:val="22"/>
          <w:szCs w:val="22"/>
        </w:rPr>
        <w:t>Council</w:t>
      </w:r>
      <w:proofErr w:type="spellEnd"/>
      <w:r w:rsidRPr="00730CC1">
        <w:rPr>
          <w:sz w:val="22"/>
          <w:szCs w:val="22"/>
        </w:rPr>
        <w:t xml:space="preserve"> </w:t>
      </w:r>
      <w:proofErr w:type="spellStart"/>
      <w:r w:rsidRPr="00730CC1">
        <w:rPr>
          <w:sz w:val="22"/>
          <w:szCs w:val="22"/>
        </w:rPr>
        <w:t>Regulation</w:t>
      </w:r>
      <w:proofErr w:type="spellEnd"/>
      <w:r w:rsidRPr="00730CC1">
        <w:rPr>
          <w:sz w:val="22"/>
          <w:szCs w:val="22"/>
        </w:rPr>
        <w:t xml:space="preserve"> (EC) No 1083/2006.</w:t>
      </w:r>
    </w:p>
    <w:p w14:paraId="7F7F3E39" w14:textId="77777777" w:rsidR="000160CE" w:rsidRPr="00730CC1" w:rsidRDefault="000160CE" w:rsidP="000160CE">
      <w:pPr>
        <w:pStyle w:val="ListParagraph"/>
        <w:numPr>
          <w:ilvl w:val="0"/>
          <w:numId w:val="24"/>
        </w:numPr>
        <w:spacing w:after="120"/>
        <w:jc w:val="both"/>
        <w:rPr>
          <w:sz w:val="22"/>
        </w:rPr>
      </w:pPr>
      <w:r w:rsidRPr="00730CC1">
        <w:rPr>
          <w:sz w:val="22"/>
        </w:rPr>
        <w:t xml:space="preserve">VĮ Lietuvos žemės ūkio ir maisto produktų rinkos reguliavimo agentūros tinklapis, </w:t>
      </w:r>
      <w:hyperlink r:id="rId14" w:history="1">
        <w:r w:rsidRPr="00730CC1">
          <w:rPr>
            <w:rStyle w:val="Hyperlink"/>
            <w:sz w:val="22"/>
          </w:rPr>
          <w:t>http://www.litfood.lt/Lists/Publications/AllItems.aspx?RootFolder=http%3a%2f%2fwww%2elitfood%2elt%2fLists%2fPublications%2fPagalba%20maisto%20produktais%2fStatistika&amp;FolderCTID=0x012000EF8B28BBC9FD604F9F45357A684ABF67</w:t>
        </w:r>
      </w:hyperlink>
      <w:r w:rsidRPr="00730CC1">
        <w:rPr>
          <w:sz w:val="22"/>
        </w:rPr>
        <w:t>.</w:t>
      </w:r>
    </w:p>
    <w:p w14:paraId="53255F88" w14:textId="77777777" w:rsidR="005E39AB" w:rsidRPr="00730CC1" w:rsidRDefault="005E39AB" w:rsidP="005E39AB">
      <w:pPr>
        <w:pStyle w:val="Text"/>
        <w:ind w:left="0"/>
      </w:pPr>
    </w:p>
    <w:p w14:paraId="5BCED014" w14:textId="281169C8" w:rsidR="005E39AB" w:rsidRPr="00730CC1" w:rsidRDefault="005E39AB" w:rsidP="005E39AB">
      <w:pPr>
        <w:pStyle w:val="Text"/>
        <w:ind w:left="0"/>
        <w:rPr>
          <w:b/>
          <w:color w:val="036575" w:themeColor="accent5" w:themeTint="E6"/>
        </w:rPr>
      </w:pPr>
      <w:r w:rsidRPr="00730CC1">
        <w:rPr>
          <w:b/>
          <w:color w:val="036575" w:themeColor="accent5" w:themeTint="E6"/>
        </w:rPr>
        <w:lastRenderedPageBreak/>
        <w:t>Interviu sąrašas</w:t>
      </w:r>
    </w:p>
    <w:tbl>
      <w:tblPr>
        <w:tblStyle w:val="VPVILentele1"/>
        <w:tblW w:w="0" w:type="auto"/>
        <w:tblLook w:val="04A0" w:firstRow="1" w:lastRow="0" w:firstColumn="1" w:lastColumn="0" w:noHBand="0" w:noVBand="1"/>
      </w:tblPr>
      <w:tblGrid>
        <w:gridCol w:w="3208"/>
        <w:gridCol w:w="4838"/>
        <w:gridCol w:w="2114"/>
      </w:tblGrid>
      <w:tr w:rsidR="005E39AB" w:rsidRPr="00730CC1" w14:paraId="729792F9" w14:textId="77777777" w:rsidTr="005E39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08" w:type="dxa"/>
          </w:tcPr>
          <w:p w14:paraId="6CC761CE" w14:textId="30322A90" w:rsidR="005E39AB" w:rsidRPr="00730CC1" w:rsidRDefault="005E39AB" w:rsidP="00FB736A">
            <w:pPr>
              <w:pStyle w:val="PlainText"/>
              <w:rPr>
                <w:rFonts w:asciiTheme="minorHAnsi" w:hAnsiTheme="minorHAnsi"/>
                <w:szCs w:val="22"/>
              </w:rPr>
            </w:pPr>
            <w:r w:rsidRPr="00730CC1">
              <w:rPr>
                <w:rFonts w:asciiTheme="minorHAnsi" w:hAnsiTheme="minorHAnsi"/>
                <w:szCs w:val="22"/>
              </w:rPr>
              <w:t>Vardas pavardė</w:t>
            </w:r>
          </w:p>
        </w:tc>
        <w:tc>
          <w:tcPr>
            <w:tcW w:w="4838" w:type="dxa"/>
          </w:tcPr>
          <w:p w14:paraId="5490EDA2" w14:textId="14519295" w:rsidR="005E39AB" w:rsidRPr="00730CC1" w:rsidRDefault="005E39AB" w:rsidP="00FB736A">
            <w:pPr>
              <w:pStyle w:val="PlainText"/>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sidRPr="00730CC1">
              <w:rPr>
                <w:rFonts w:asciiTheme="minorHAnsi" w:hAnsiTheme="minorHAnsi"/>
                <w:szCs w:val="22"/>
              </w:rPr>
              <w:t>Organizacija, kontaktai</w:t>
            </w:r>
          </w:p>
        </w:tc>
        <w:tc>
          <w:tcPr>
            <w:tcW w:w="2114" w:type="dxa"/>
          </w:tcPr>
          <w:p w14:paraId="37FFFCF2" w14:textId="684C5352" w:rsidR="005E39AB" w:rsidRPr="00730CC1" w:rsidRDefault="005E39AB" w:rsidP="00FB736A">
            <w:pPr>
              <w:pStyle w:val="PlainText"/>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sidRPr="00730CC1">
              <w:rPr>
                <w:rFonts w:asciiTheme="minorHAnsi" w:hAnsiTheme="minorHAnsi"/>
                <w:szCs w:val="22"/>
              </w:rPr>
              <w:t>Data</w:t>
            </w:r>
          </w:p>
        </w:tc>
      </w:tr>
      <w:tr w:rsidR="005E39AB" w:rsidRPr="00730CC1" w14:paraId="0A74AAD0" w14:textId="77777777" w:rsidTr="005E3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8" w:type="dxa"/>
          </w:tcPr>
          <w:p w14:paraId="3EE0D461" w14:textId="79F9915A" w:rsidR="005E39AB" w:rsidRPr="00730CC1" w:rsidRDefault="005E39AB" w:rsidP="005E39AB">
            <w:pPr>
              <w:pStyle w:val="PlainText"/>
              <w:rPr>
                <w:rFonts w:asciiTheme="minorHAnsi" w:hAnsiTheme="minorHAnsi"/>
                <w:szCs w:val="22"/>
              </w:rPr>
            </w:pPr>
            <w:r w:rsidRPr="00730CC1">
              <w:rPr>
                <w:rFonts w:asciiTheme="minorHAnsi" w:hAnsiTheme="minorHAnsi"/>
                <w:szCs w:val="22"/>
              </w:rPr>
              <w:t xml:space="preserve">Dalia Reklaitienė </w:t>
            </w:r>
          </w:p>
        </w:tc>
        <w:tc>
          <w:tcPr>
            <w:tcW w:w="4838" w:type="dxa"/>
          </w:tcPr>
          <w:p w14:paraId="2B5F0121" w14:textId="48AFD246" w:rsidR="005E39AB" w:rsidRPr="00730CC1" w:rsidRDefault="005E39AB" w:rsidP="00FB736A">
            <w:pPr>
              <w:pStyle w:val="PlainText"/>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730CC1">
              <w:rPr>
                <w:rFonts w:asciiTheme="minorHAnsi" w:hAnsiTheme="minorHAnsi"/>
                <w:szCs w:val="22"/>
              </w:rPr>
              <w:t xml:space="preserve">Lietuvos Raudonojo Kryžiaus draugija </w:t>
            </w:r>
          </w:p>
          <w:p w14:paraId="351E01D6" w14:textId="0F3869C1" w:rsidR="005E39AB" w:rsidRPr="00730CC1" w:rsidRDefault="005E39AB" w:rsidP="00FB736A">
            <w:pPr>
              <w:pStyle w:val="PlainText"/>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roofErr w:type="spellStart"/>
            <w:r w:rsidRPr="00730CC1">
              <w:rPr>
                <w:rFonts w:asciiTheme="minorHAnsi" w:hAnsiTheme="minorHAnsi"/>
                <w:szCs w:val="22"/>
              </w:rPr>
              <w:t>tel</w:t>
            </w:r>
            <w:proofErr w:type="spellEnd"/>
            <w:r w:rsidRPr="00730CC1">
              <w:rPr>
                <w:rFonts w:asciiTheme="minorHAnsi" w:hAnsiTheme="minorHAnsi"/>
                <w:szCs w:val="22"/>
              </w:rPr>
              <w:t xml:space="preserve">. </w:t>
            </w:r>
            <w:r w:rsidR="005619E5">
              <w:rPr>
                <w:rFonts w:asciiTheme="minorHAnsi" w:hAnsiTheme="minorHAnsi"/>
                <w:szCs w:val="22"/>
              </w:rPr>
              <w:t>(</w:t>
            </w:r>
            <w:r w:rsidRPr="00730CC1">
              <w:rPr>
                <w:rFonts w:asciiTheme="minorHAnsi" w:hAnsiTheme="minorHAnsi"/>
                <w:szCs w:val="22"/>
              </w:rPr>
              <w:t>8</w:t>
            </w:r>
            <w:r w:rsidR="005619E5">
              <w:rPr>
                <w:rFonts w:asciiTheme="minorHAnsi" w:hAnsiTheme="minorHAnsi"/>
                <w:szCs w:val="22"/>
              </w:rPr>
              <w:t xml:space="preserve"> </w:t>
            </w:r>
            <w:r w:rsidRPr="00730CC1">
              <w:rPr>
                <w:rFonts w:asciiTheme="minorHAnsi" w:hAnsiTheme="minorHAnsi"/>
                <w:szCs w:val="22"/>
              </w:rPr>
              <w:t>5</w:t>
            </w:r>
            <w:r w:rsidR="005619E5">
              <w:rPr>
                <w:rFonts w:asciiTheme="minorHAnsi" w:hAnsiTheme="minorHAnsi"/>
                <w:szCs w:val="22"/>
              </w:rPr>
              <w:t>)</w:t>
            </w:r>
            <w:r w:rsidRPr="00730CC1">
              <w:rPr>
                <w:rFonts w:asciiTheme="minorHAnsi" w:hAnsiTheme="minorHAnsi"/>
                <w:szCs w:val="22"/>
              </w:rPr>
              <w:t>262</w:t>
            </w:r>
            <w:r w:rsidR="005619E5">
              <w:rPr>
                <w:rFonts w:asciiTheme="minorHAnsi" w:hAnsiTheme="minorHAnsi"/>
                <w:szCs w:val="22"/>
              </w:rPr>
              <w:t xml:space="preserve"> </w:t>
            </w:r>
            <w:r w:rsidRPr="00730CC1">
              <w:rPr>
                <w:rFonts w:asciiTheme="minorHAnsi" w:hAnsiTheme="minorHAnsi"/>
                <w:szCs w:val="22"/>
              </w:rPr>
              <w:t xml:space="preserve">8037, </w:t>
            </w:r>
            <w:hyperlink r:id="rId15" w:history="1">
              <w:r w:rsidRPr="00730CC1">
                <w:rPr>
                  <w:rStyle w:val="Hyperlink"/>
                  <w:rFonts w:asciiTheme="minorHAnsi" w:hAnsiTheme="minorHAnsi"/>
                  <w:szCs w:val="22"/>
                </w:rPr>
                <w:t>dalia@redcross.lt</w:t>
              </w:r>
            </w:hyperlink>
          </w:p>
        </w:tc>
        <w:tc>
          <w:tcPr>
            <w:tcW w:w="2114" w:type="dxa"/>
          </w:tcPr>
          <w:p w14:paraId="52405E76" w14:textId="56F94D79" w:rsidR="005E39AB" w:rsidRPr="00730CC1" w:rsidRDefault="005E39AB" w:rsidP="00FB736A">
            <w:pPr>
              <w:pStyle w:val="PlainText"/>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730CC1">
              <w:rPr>
                <w:rFonts w:asciiTheme="minorHAnsi" w:hAnsiTheme="minorHAnsi"/>
                <w:szCs w:val="22"/>
              </w:rPr>
              <w:t>2014-07-04 (atsakymus pateikė raštu)</w:t>
            </w:r>
          </w:p>
        </w:tc>
      </w:tr>
      <w:tr w:rsidR="005E39AB" w:rsidRPr="00730CC1" w14:paraId="543CC005" w14:textId="77777777" w:rsidTr="005E39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8" w:type="dxa"/>
          </w:tcPr>
          <w:p w14:paraId="5F5FBC07" w14:textId="798A4612" w:rsidR="005E39AB" w:rsidRPr="00730CC1" w:rsidRDefault="005E39AB" w:rsidP="005E39AB">
            <w:pPr>
              <w:pStyle w:val="PlainText"/>
              <w:rPr>
                <w:rFonts w:asciiTheme="minorHAnsi" w:hAnsiTheme="minorHAnsi"/>
                <w:szCs w:val="22"/>
              </w:rPr>
            </w:pPr>
            <w:r w:rsidRPr="00730CC1">
              <w:rPr>
                <w:rFonts w:asciiTheme="minorHAnsi" w:hAnsiTheme="minorHAnsi"/>
                <w:szCs w:val="22"/>
              </w:rPr>
              <w:t>Mantvydas Musteikis</w:t>
            </w:r>
          </w:p>
        </w:tc>
        <w:tc>
          <w:tcPr>
            <w:tcW w:w="4838" w:type="dxa"/>
          </w:tcPr>
          <w:p w14:paraId="0E70B1F8" w14:textId="77777777" w:rsidR="005E39AB" w:rsidRPr="00730CC1" w:rsidRDefault="005E39AB" w:rsidP="00FB736A">
            <w:pPr>
              <w:pStyle w:val="PlainText"/>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sidRPr="00730CC1">
              <w:rPr>
                <w:rFonts w:asciiTheme="minorHAnsi" w:hAnsiTheme="minorHAnsi"/>
                <w:szCs w:val="22"/>
              </w:rPr>
              <w:t xml:space="preserve">VĮ Lietuvos žemės ūkio ir maisto produktų rinkos reguliavimo agentūra, </w:t>
            </w:r>
          </w:p>
          <w:p w14:paraId="3C245606" w14:textId="1A5A3EC1" w:rsidR="005E39AB" w:rsidRPr="00730CC1" w:rsidRDefault="005E39AB" w:rsidP="00FB736A">
            <w:pPr>
              <w:pStyle w:val="PlainText"/>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proofErr w:type="spellStart"/>
            <w:r w:rsidRPr="00730CC1">
              <w:rPr>
                <w:rFonts w:asciiTheme="minorHAnsi" w:hAnsiTheme="minorHAnsi"/>
                <w:szCs w:val="22"/>
              </w:rPr>
              <w:t>tel</w:t>
            </w:r>
            <w:proofErr w:type="spellEnd"/>
            <w:r w:rsidRPr="00730CC1">
              <w:rPr>
                <w:rFonts w:asciiTheme="minorHAnsi" w:hAnsiTheme="minorHAnsi"/>
                <w:szCs w:val="22"/>
              </w:rPr>
              <w:t>. 8</w:t>
            </w:r>
            <w:r w:rsidR="00E56115">
              <w:rPr>
                <w:rFonts w:asciiTheme="minorHAnsi" w:hAnsiTheme="minorHAnsi"/>
                <w:szCs w:val="22"/>
              </w:rPr>
              <w:t> </w:t>
            </w:r>
            <w:r w:rsidRPr="00730CC1">
              <w:rPr>
                <w:rFonts w:asciiTheme="minorHAnsi" w:hAnsiTheme="minorHAnsi"/>
                <w:szCs w:val="22"/>
              </w:rPr>
              <w:t>615</w:t>
            </w:r>
            <w:r w:rsidR="00E56115">
              <w:rPr>
                <w:rFonts w:asciiTheme="minorHAnsi" w:hAnsiTheme="minorHAnsi"/>
                <w:szCs w:val="22"/>
              </w:rPr>
              <w:t xml:space="preserve"> </w:t>
            </w:r>
            <w:r w:rsidRPr="00730CC1">
              <w:rPr>
                <w:rFonts w:asciiTheme="minorHAnsi" w:hAnsiTheme="minorHAnsi"/>
                <w:szCs w:val="22"/>
              </w:rPr>
              <w:t>45</w:t>
            </w:r>
            <w:r w:rsidR="00E56115">
              <w:rPr>
                <w:rFonts w:asciiTheme="minorHAnsi" w:hAnsiTheme="minorHAnsi"/>
                <w:szCs w:val="22"/>
              </w:rPr>
              <w:t xml:space="preserve"> </w:t>
            </w:r>
            <w:r w:rsidRPr="00730CC1">
              <w:rPr>
                <w:rFonts w:asciiTheme="minorHAnsi" w:hAnsiTheme="minorHAnsi"/>
                <w:szCs w:val="22"/>
              </w:rPr>
              <w:t xml:space="preserve">390, </w:t>
            </w:r>
            <w:r w:rsidR="00E56115">
              <w:rPr>
                <w:rFonts w:asciiTheme="minorHAnsi" w:hAnsiTheme="minorHAnsi"/>
                <w:szCs w:val="22"/>
              </w:rPr>
              <w:t>(</w:t>
            </w:r>
            <w:r w:rsidRPr="00730CC1">
              <w:rPr>
                <w:rFonts w:asciiTheme="minorHAnsi" w:hAnsiTheme="minorHAnsi"/>
                <w:szCs w:val="22"/>
              </w:rPr>
              <w:t>8</w:t>
            </w:r>
            <w:r w:rsidR="00E56115">
              <w:rPr>
                <w:rFonts w:asciiTheme="minorHAnsi" w:hAnsiTheme="minorHAnsi"/>
                <w:szCs w:val="22"/>
              </w:rPr>
              <w:t xml:space="preserve"> </w:t>
            </w:r>
            <w:r w:rsidRPr="00730CC1">
              <w:rPr>
                <w:rFonts w:asciiTheme="minorHAnsi" w:hAnsiTheme="minorHAnsi"/>
                <w:szCs w:val="22"/>
              </w:rPr>
              <w:t>5</w:t>
            </w:r>
            <w:r w:rsidR="00E56115">
              <w:rPr>
                <w:rFonts w:asciiTheme="minorHAnsi" w:hAnsiTheme="minorHAnsi"/>
                <w:szCs w:val="22"/>
              </w:rPr>
              <w:t xml:space="preserve">) </w:t>
            </w:r>
            <w:r w:rsidRPr="00730CC1">
              <w:rPr>
                <w:rFonts w:asciiTheme="minorHAnsi" w:hAnsiTheme="minorHAnsi"/>
                <w:szCs w:val="22"/>
              </w:rPr>
              <w:t>268</w:t>
            </w:r>
            <w:r w:rsidR="00E56115">
              <w:rPr>
                <w:rFonts w:asciiTheme="minorHAnsi" w:hAnsiTheme="minorHAnsi"/>
                <w:szCs w:val="22"/>
              </w:rPr>
              <w:t xml:space="preserve"> </w:t>
            </w:r>
            <w:r w:rsidRPr="00730CC1">
              <w:rPr>
                <w:rFonts w:asciiTheme="minorHAnsi" w:hAnsiTheme="minorHAnsi"/>
                <w:szCs w:val="22"/>
              </w:rPr>
              <w:t xml:space="preserve">5050, </w:t>
            </w:r>
            <w:hyperlink r:id="rId16" w:history="1">
              <w:r w:rsidRPr="00730CC1">
                <w:rPr>
                  <w:rStyle w:val="Hyperlink"/>
                  <w:rFonts w:asciiTheme="minorHAnsi" w:hAnsiTheme="minorHAnsi"/>
                  <w:szCs w:val="22"/>
                </w:rPr>
                <w:t>m.musteikis@litfood.lt</w:t>
              </w:r>
            </w:hyperlink>
          </w:p>
        </w:tc>
        <w:tc>
          <w:tcPr>
            <w:tcW w:w="2114" w:type="dxa"/>
          </w:tcPr>
          <w:p w14:paraId="76BD38E6" w14:textId="5B393147" w:rsidR="005E39AB" w:rsidRPr="00730CC1" w:rsidRDefault="005E39AB" w:rsidP="00FB736A">
            <w:pPr>
              <w:pStyle w:val="PlainText"/>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sidRPr="00730CC1">
              <w:rPr>
                <w:rFonts w:asciiTheme="minorHAnsi" w:hAnsiTheme="minorHAnsi"/>
                <w:szCs w:val="22"/>
              </w:rPr>
              <w:t>2014-07-</w:t>
            </w:r>
            <w:proofErr w:type="spellStart"/>
            <w:r w:rsidRPr="00730CC1">
              <w:rPr>
                <w:rFonts w:asciiTheme="minorHAnsi" w:hAnsiTheme="minorHAnsi"/>
                <w:szCs w:val="22"/>
              </w:rPr>
              <w:t>07</w:t>
            </w:r>
            <w:proofErr w:type="spellEnd"/>
          </w:p>
        </w:tc>
      </w:tr>
      <w:tr w:rsidR="005E39AB" w:rsidRPr="00730CC1" w14:paraId="276A32F8" w14:textId="77777777" w:rsidTr="005E3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8" w:type="dxa"/>
          </w:tcPr>
          <w:p w14:paraId="7DEE6C7D" w14:textId="14683BF5" w:rsidR="005E39AB" w:rsidRPr="00730CC1" w:rsidRDefault="005E39AB" w:rsidP="00FB736A">
            <w:pPr>
              <w:pStyle w:val="PlainText"/>
              <w:rPr>
                <w:rFonts w:asciiTheme="minorHAnsi" w:hAnsiTheme="minorHAnsi"/>
                <w:szCs w:val="22"/>
              </w:rPr>
            </w:pPr>
            <w:proofErr w:type="spellStart"/>
            <w:r w:rsidRPr="00730CC1">
              <w:rPr>
                <w:rFonts w:asciiTheme="minorHAnsi" w:hAnsiTheme="minorHAnsi"/>
                <w:szCs w:val="22"/>
              </w:rPr>
              <w:t>Rasita</w:t>
            </w:r>
            <w:proofErr w:type="spellEnd"/>
            <w:r w:rsidRPr="00730CC1">
              <w:rPr>
                <w:rFonts w:asciiTheme="minorHAnsi" w:hAnsiTheme="minorHAnsi"/>
                <w:szCs w:val="22"/>
              </w:rPr>
              <w:t xml:space="preserve"> Kraujelytė-Noreikienė</w:t>
            </w:r>
          </w:p>
        </w:tc>
        <w:tc>
          <w:tcPr>
            <w:tcW w:w="4838" w:type="dxa"/>
          </w:tcPr>
          <w:p w14:paraId="7E129299" w14:textId="39F6B7A4" w:rsidR="005E39AB" w:rsidRPr="00730CC1" w:rsidRDefault="005E39AB" w:rsidP="005E39AB">
            <w:pPr>
              <w:pStyle w:val="PlainText"/>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730CC1">
              <w:rPr>
                <w:rFonts w:asciiTheme="minorHAnsi" w:hAnsiTheme="minorHAnsi"/>
                <w:szCs w:val="22"/>
              </w:rPr>
              <w:t>VĮ Lietuvos žemės ūkio ir maisto produktų rinkos reguliavimo agentūra,</w:t>
            </w:r>
          </w:p>
          <w:p w14:paraId="2C199F74" w14:textId="7DBF8EFC" w:rsidR="005E39AB" w:rsidRPr="00730CC1" w:rsidRDefault="006D6B40" w:rsidP="00FB736A">
            <w:pPr>
              <w:pStyle w:val="PlainText"/>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hyperlink r:id="rId17" w:history="1">
              <w:r w:rsidR="005E39AB" w:rsidRPr="00730CC1">
                <w:rPr>
                  <w:rStyle w:val="Hyperlink"/>
                  <w:rFonts w:asciiTheme="minorHAnsi" w:hAnsiTheme="minorHAnsi"/>
                  <w:szCs w:val="22"/>
                </w:rPr>
                <w:t>r.kraujelyte-noreikiene@litfood.lt</w:t>
              </w:r>
            </w:hyperlink>
          </w:p>
        </w:tc>
        <w:tc>
          <w:tcPr>
            <w:tcW w:w="2114" w:type="dxa"/>
          </w:tcPr>
          <w:p w14:paraId="3EC50554" w14:textId="3E03AE5E" w:rsidR="005E39AB" w:rsidRPr="00730CC1" w:rsidRDefault="005E39AB" w:rsidP="00FB736A">
            <w:pPr>
              <w:pStyle w:val="PlainText"/>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730CC1">
              <w:rPr>
                <w:rFonts w:asciiTheme="minorHAnsi" w:hAnsiTheme="minorHAnsi"/>
                <w:szCs w:val="22"/>
              </w:rPr>
              <w:t>2014-07-</w:t>
            </w:r>
            <w:proofErr w:type="spellStart"/>
            <w:r w:rsidRPr="00730CC1">
              <w:rPr>
                <w:rFonts w:asciiTheme="minorHAnsi" w:hAnsiTheme="minorHAnsi"/>
                <w:szCs w:val="22"/>
              </w:rPr>
              <w:t>07</w:t>
            </w:r>
            <w:proofErr w:type="spellEnd"/>
          </w:p>
        </w:tc>
      </w:tr>
      <w:tr w:rsidR="005E39AB" w:rsidRPr="00730CC1" w14:paraId="5DAD03C8" w14:textId="77777777" w:rsidTr="005E39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8" w:type="dxa"/>
          </w:tcPr>
          <w:p w14:paraId="5AADD7A4" w14:textId="73091E9E" w:rsidR="005E39AB" w:rsidRPr="00730CC1" w:rsidRDefault="005E39AB" w:rsidP="00FB736A">
            <w:pPr>
              <w:pStyle w:val="PlainText"/>
              <w:rPr>
                <w:rFonts w:asciiTheme="minorHAnsi" w:hAnsiTheme="minorHAnsi"/>
                <w:szCs w:val="22"/>
              </w:rPr>
            </w:pPr>
            <w:r w:rsidRPr="00730CC1">
              <w:rPr>
                <w:rFonts w:asciiTheme="minorHAnsi" w:hAnsiTheme="minorHAnsi"/>
                <w:szCs w:val="22"/>
              </w:rPr>
              <w:t>Germanas Lamsodis</w:t>
            </w:r>
          </w:p>
        </w:tc>
        <w:tc>
          <w:tcPr>
            <w:tcW w:w="4838" w:type="dxa"/>
          </w:tcPr>
          <w:p w14:paraId="2D5C621F" w14:textId="17B5F14C" w:rsidR="005E39AB" w:rsidRPr="00730CC1" w:rsidRDefault="005E39AB" w:rsidP="005E39AB">
            <w:pPr>
              <w:pStyle w:val="PlainText"/>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sidRPr="00730CC1">
              <w:rPr>
                <w:rFonts w:asciiTheme="minorHAnsi" w:hAnsiTheme="minorHAnsi"/>
                <w:szCs w:val="22"/>
              </w:rPr>
              <w:t>VĮ Lietuvos žemės ūkio ir maisto produktų rinkos reguliavimo agentūra,</w:t>
            </w:r>
          </w:p>
          <w:p w14:paraId="5A369215" w14:textId="78A75675" w:rsidR="005E39AB" w:rsidRPr="00730CC1" w:rsidRDefault="006D6B40" w:rsidP="005E39AB">
            <w:pPr>
              <w:pStyle w:val="PlainText"/>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hyperlink r:id="rId18" w:history="1">
              <w:r w:rsidR="005E39AB" w:rsidRPr="00730CC1">
                <w:rPr>
                  <w:rStyle w:val="Hyperlink"/>
                  <w:rFonts w:asciiTheme="minorHAnsi" w:hAnsiTheme="minorHAnsi"/>
                  <w:szCs w:val="22"/>
                </w:rPr>
                <w:t>g.lamsodis@litfood.lt</w:t>
              </w:r>
            </w:hyperlink>
            <w:r w:rsidR="005E39AB" w:rsidRPr="00730CC1">
              <w:rPr>
                <w:rFonts w:asciiTheme="minorHAnsi" w:hAnsiTheme="minorHAnsi"/>
                <w:szCs w:val="22"/>
              </w:rPr>
              <w:t xml:space="preserve"> </w:t>
            </w:r>
          </w:p>
        </w:tc>
        <w:tc>
          <w:tcPr>
            <w:tcW w:w="2114" w:type="dxa"/>
          </w:tcPr>
          <w:p w14:paraId="7A8F11DB" w14:textId="46ACCE33" w:rsidR="005E39AB" w:rsidRPr="00730CC1" w:rsidRDefault="005E39AB" w:rsidP="00FB736A">
            <w:pPr>
              <w:pStyle w:val="PlainText"/>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sidRPr="00730CC1">
              <w:rPr>
                <w:rFonts w:asciiTheme="minorHAnsi" w:hAnsiTheme="minorHAnsi"/>
                <w:szCs w:val="22"/>
              </w:rPr>
              <w:t>2014-07-</w:t>
            </w:r>
            <w:proofErr w:type="spellStart"/>
            <w:r w:rsidRPr="00730CC1">
              <w:rPr>
                <w:rFonts w:asciiTheme="minorHAnsi" w:hAnsiTheme="minorHAnsi"/>
                <w:szCs w:val="22"/>
              </w:rPr>
              <w:t>07</w:t>
            </w:r>
            <w:proofErr w:type="spellEnd"/>
          </w:p>
        </w:tc>
      </w:tr>
      <w:tr w:rsidR="005E39AB" w:rsidRPr="00730CC1" w14:paraId="1B3616BB" w14:textId="77777777" w:rsidTr="005E3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8" w:type="dxa"/>
          </w:tcPr>
          <w:p w14:paraId="3BEE4A1A" w14:textId="1A6BE937" w:rsidR="005E39AB" w:rsidRPr="00730CC1" w:rsidRDefault="005E39AB" w:rsidP="005E39AB">
            <w:pPr>
              <w:pStyle w:val="PlainText"/>
              <w:rPr>
                <w:rFonts w:asciiTheme="minorHAnsi" w:hAnsiTheme="minorHAnsi"/>
                <w:szCs w:val="22"/>
              </w:rPr>
            </w:pPr>
            <w:r w:rsidRPr="00730CC1">
              <w:rPr>
                <w:rFonts w:asciiTheme="minorHAnsi" w:eastAsia="Times New Roman" w:hAnsiTheme="minorHAnsi" w:cs="Times New Roman"/>
                <w:szCs w:val="22"/>
                <w:lang w:eastAsia="lt-LT"/>
              </w:rPr>
              <w:t xml:space="preserve">Dalia Gailevičiūtė </w:t>
            </w:r>
          </w:p>
        </w:tc>
        <w:tc>
          <w:tcPr>
            <w:tcW w:w="4838" w:type="dxa"/>
          </w:tcPr>
          <w:p w14:paraId="3F369865" w14:textId="77777777" w:rsidR="005E39AB" w:rsidRPr="00730CC1" w:rsidRDefault="005E39AB" w:rsidP="00FB736A">
            <w:pPr>
              <w:pStyle w:val="PlainText"/>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730CC1">
              <w:rPr>
                <w:rFonts w:asciiTheme="minorHAnsi" w:hAnsiTheme="minorHAnsi"/>
                <w:szCs w:val="22"/>
              </w:rPr>
              <w:t>Europos socialinio fondo agentūra</w:t>
            </w:r>
          </w:p>
          <w:p w14:paraId="18BC4B0C" w14:textId="7264A71D" w:rsidR="005E39AB" w:rsidRPr="00730CC1" w:rsidRDefault="005E39AB" w:rsidP="00FB736A">
            <w:pPr>
              <w:pStyle w:val="PlainText"/>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730CC1">
              <w:rPr>
                <w:rFonts w:asciiTheme="minorHAnsi" w:eastAsia="Times New Roman" w:hAnsiTheme="minorHAnsi" w:cs="Times New Roman"/>
                <w:szCs w:val="22"/>
                <w:lang w:eastAsia="lt-LT"/>
              </w:rPr>
              <w:t xml:space="preserve">(8 5) 241 3182 </w:t>
            </w:r>
            <w:hyperlink r:id="rId19" w:history="1">
              <w:r w:rsidRPr="00730CC1">
                <w:rPr>
                  <w:rStyle w:val="Hyperlink"/>
                  <w:rFonts w:asciiTheme="minorHAnsi" w:eastAsia="Times New Roman" w:hAnsiTheme="minorHAnsi" w:cs="Times New Roman"/>
                  <w:szCs w:val="22"/>
                  <w:lang w:eastAsia="lt-LT"/>
                </w:rPr>
                <w:t>dalia.gaileviciute@esf.lt</w:t>
              </w:r>
            </w:hyperlink>
          </w:p>
        </w:tc>
        <w:tc>
          <w:tcPr>
            <w:tcW w:w="2114" w:type="dxa"/>
          </w:tcPr>
          <w:p w14:paraId="3F9D93A6" w14:textId="6E06DF95" w:rsidR="005E39AB" w:rsidRPr="00730CC1" w:rsidRDefault="005E39AB" w:rsidP="00FB736A">
            <w:pPr>
              <w:pStyle w:val="PlainText"/>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730CC1">
              <w:rPr>
                <w:rFonts w:asciiTheme="minorHAnsi" w:hAnsiTheme="minorHAnsi"/>
                <w:szCs w:val="22"/>
              </w:rPr>
              <w:t>2014-07-08</w:t>
            </w:r>
          </w:p>
        </w:tc>
      </w:tr>
      <w:tr w:rsidR="005E39AB" w:rsidRPr="00730CC1" w14:paraId="34A6509E" w14:textId="77777777" w:rsidTr="005E39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8" w:type="dxa"/>
          </w:tcPr>
          <w:p w14:paraId="0512CC18" w14:textId="74ACF06B" w:rsidR="005E39AB" w:rsidRPr="00730CC1" w:rsidRDefault="005E39AB" w:rsidP="005E39AB">
            <w:pPr>
              <w:pStyle w:val="PlainText"/>
              <w:rPr>
                <w:rFonts w:asciiTheme="minorHAnsi" w:hAnsiTheme="minorHAnsi"/>
                <w:szCs w:val="22"/>
              </w:rPr>
            </w:pPr>
            <w:r w:rsidRPr="00730CC1">
              <w:rPr>
                <w:rFonts w:asciiTheme="minorHAnsi" w:hAnsiTheme="minorHAnsi"/>
                <w:szCs w:val="22"/>
              </w:rPr>
              <w:t xml:space="preserve">Kristina Tylaitė </w:t>
            </w:r>
          </w:p>
        </w:tc>
        <w:tc>
          <w:tcPr>
            <w:tcW w:w="4838" w:type="dxa"/>
          </w:tcPr>
          <w:p w14:paraId="7A80E969" w14:textId="13262C69" w:rsidR="005E39AB" w:rsidRPr="00730CC1" w:rsidRDefault="005E39AB" w:rsidP="00FB736A">
            <w:pPr>
              <w:pStyle w:val="PlainText"/>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proofErr w:type="spellStart"/>
            <w:r w:rsidRPr="00730CC1">
              <w:rPr>
                <w:rFonts w:asciiTheme="minorHAnsi" w:hAnsiTheme="minorHAnsi"/>
                <w:szCs w:val="22"/>
              </w:rPr>
              <w:t>VšĮ</w:t>
            </w:r>
            <w:proofErr w:type="spellEnd"/>
            <w:r w:rsidRPr="00730CC1">
              <w:rPr>
                <w:rFonts w:asciiTheme="minorHAnsi" w:hAnsiTheme="minorHAnsi"/>
                <w:szCs w:val="22"/>
              </w:rPr>
              <w:t xml:space="preserve"> „Maisto bankas“, </w:t>
            </w:r>
            <w:proofErr w:type="spellStart"/>
            <w:r w:rsidRPr="00730CC1">
              <w:rPr>
                <w:rFonts w:asciiTheme="minorHAnsi" w:hAnsiTheme="minorHAnsi"/>
                <w:szCs w:val="22"/>
              </w:rPr>
              <w:t>tel</w:t>
            </w:r>
            <w:proofErr w:type="spellEnd"/>
            <w:r w:rsidRPr="00730CC1">
              <w:rPr>
                <w:rFonts w:asciiTheme="minorHAnsi" w:hAnsiTheme="minorHAnsi"/>
                <w:szCs w:val="22"/>
              </w:rPr>
              <w:t>. 8 655 53</w:t>
            </w:r>
            <w:r w:rsidR="00E56115">
              <w:rPr>
                <w:rFonts w:asciiTheme="minorHAnsi" w:hAnsiTheme="minorHAnsi"/>
                <w:szCs w:val="22"/>
              </w:rPr>
              <w:t xml:space="preserve"> </w:t>
            </w:r>
            <w:r w:rsidRPr="00730CC1">
              <w:rPr>
                <w:rFonts w:asciiTheme="minorHAnsi" w:hAnsiTheme="minorHAnsi"/>
                <w:szCs w:val="22"/>
              </w:rPr>
              <w:t xml:space="preserve">284, </w:t>
            </w:r>
            <w:r w:rsidR="00E56115">
              <w:rPr>
                <w:rFonts w:asciiTheme="minorHAnsi" w:hAnsiTheme="minorHAnsi"/>
                <w:szCs w:val="22"/>
              </w:rPr>
              <w:t>(</w:t>
            </w:r>
            <w:r w:rsidRPr="00730CC1">
              <w:rPr>
                <w:rFonts w:asciiTheme="minorHAnsi" w:hAnsiTheme="minorHAnsi"/>
                <w:szCs w:val="22"/>
              </w:rPr>
              <w:t>8</w:t>
            </w:r>
            <w:r w:rsidR="00E56115">
              <w:rPr>
                <w:rFonts w:asciiTheme="minorHAnsi" w:hAnsiTheme="minorHAnsi"/>
                <w:szCs w:val="22"/>
              </w:rPr>
              <w:t xml:space="preserve"> </w:t>
            </w:r>
            <w:r w:rsidRPr="00730CC1">
              <w:rPr>
                <w:rFonts w:asciiTheme="minorHAnsi" w:hAnsiTheme="minorHAnsi"/>
                <w:szCs w:val="22"/>
              </w:rPr>
              <w:t>5</w:t>
            </w:r>
            <w:r w:rsidR="00E56115">
              <w:rPr>
                <w:rFonts w:asciiTheme="minorHAnsi" w:hAnsiTheme="minorHAnsi"/>
                <w:szCs w:val="22"/>
              </w:rPr>
              <w:t>)</w:t>
            </w:r>
            <w:r w:rsidRPr="00730CC1">
              <w:rPr>
                <w:rFonts w:asciiTheme="minorHAnsi" w:hAnsiTheme="minorHAnsi"/>
                <w:szCs w:val="22"/>
              </w:rPr>
              <w:t xml:space="preserve"> 262</w:t>
            </w:r>
            <w:r w:rsidR="00E56115">
              <w:rPr>
                <w:rFonts w:asciiTheme="minorHAnsi" w:hAnsiTheme="minorHAnsi"/>
                <w:szCs w:val="22"/>
              </w:rPr>
              <w:t xml:space="preserve"> </w:t>
            </w:r>
            <w:r w:rsidRPr="00730CC1">
              <w:rPr>
                <w:rFonts w:asciiTheme="minorHAnsi" w:hAnsiTheme="minorHAnsi"/>
                <w:szCs w:val="22"/>
              </w:rPr>
              <w:t xml:space="preserve">7675, </w:t>
            </w:r>
            <w:hyperlink r:id="rId20" w:history="1">
              <w:r w:rsidRPr="00730CC1">
                <w:rPr>
                  <w:rStyle w:val="Hyperlink"/>
                  <w:rFonts w:asciiTheme="minorHAnsi" w:hAnsiTheme="minorHAnsi"/>
                  <w:szCs w:val="22"/>
                </w:rPr>
                <w:t>kristina@maistobankas.lt</w:t>
              </w:r>
            </w:hyperlink>
          </w:p>
        </w:tc>
        <w:tc>
          <w:tcPr>
            <w:tcW w:w="2114" w:type="dxa"/>
          </w:tcPr>
          <w:p w14:paraId="3D2C651F" w14:textId="0A97BED7" w:rsidR="005E39AB" w:rsidRPr="00730CC1" w:rsidRDefault="005E39AB" w:rsidP="00FB736A">
            <w:pPr>
              <w:pStyle w:val="PlainText"/>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sidRPr="00730CC1">
              <w:rPr>
                <w:rFonts w:asciiTheme="minorHAnsi" w:hAnsiTheme="minorHAnsi"/>
                <w:szCs w:val="22"/>
              </w:rPr>
              <w:t>2014-07-08</w:t>
            </w:r>
          </w:p>
          <w:p w14:paraId="6B303D23" w14:textId="5BB13C55" w:rsidR="005E39AB" w:rsidRPr="00730CC1" w:rsidRDefault="005E39AB" w:rsidP="00FB736A">
            <w:pPr>
              <w:pStyle w:val="PlainText"/>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p>
        </w:tc>
      </w:tr>
      <w:tr w:rsidR="005E39AB" w:rsidRPr="00730CC1" w14:paraId="07986C22" w14:textId="77777777" w:rsidTr="005E3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8" w:type="dxa"/>
          </w:tcPr>
          <w:p w14:paraId="6B6F7C43" w14:textId="45CC1AD1" w:rsidR="005E39AB" w:rsidRPr="00730CC1" w:rsidRDefault="005E39AB" w:rsidP="005E39AB">
            <w:pPr>
              <w:pStyle w:val="PlainText"/>
              <w:rPr>
                <w:rFonts w:asciiTheme="minorHAnsi" w:hAnsiTheme="minorHAnsi"/>
                <w:szCs w:val="22"/>
              </w:rPr>
            </w:pPr>
            <w:r w:rsidRPr="00730CC1">
              <w:rPr>
                <w:rFonts w:asciiTheme="minorHAnsi" w:hAnsiTheme="minorHAnsi"/>
                <w:szCs w:val="22"/>
              </w:rPr>
              <w:t xml:space="preserve">Rimantė Levickienė </w:t>
            </w:r>
          </w:p>
        </w:tc>
        <w:tc>
          <w:tcPr>
            <w:tcW w:w="4838" w:type="dxa"/>
          </w:tcPr>
          <w:p w14:paraId="6A9D25DA" w14:textId="3A392F7C" w:rsidR="005E39AB" w:rsidRPr="00730CC1" w:rsidRDefault="005E39AB">
            <w:pPr>
              <w:pStyle w:val="PlainText"/>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730CC1">
              <w:rPr>
                <w:rFonts w:asciiTheme="minorHAnsi" w:hAnsiTheme="minorHAnsi"/>
                <w:szCs w:val="22"/>
              </w:rPr>
              <w:t xml:space="preserve">Telšių raj. savivaldybės Socialinių paslaugų ir rūpybos skyrius,  </w:t>
            </w:r>
            <w:proofErr w:type="spellStart"/>
            <w:r w:rsidRPr="00730CC1">
              <w:rPr>
                <w:rFonts w:asciiTheme="minorHAnsi" w:hAnsiTheme="minorHAnsi"/>
                <w:szCs w:val="22"/>
              </w:rPr>
              <w:t>tel</w:t>
            </w:r>
            <w:proofErr w:type="spellEnd"/>
            <w:r w:rsidRPr="00730CC1">
              <w:rPr>
                <w:rFonts w:asciiTheme="minorHAnsi" w:hAnsiTheme="minorHAnsi"/>
                <w:szCs w:val="22"/>
              </w:rPr>
              <w:t xml:space="preserve">. </w:t>
            </w:r>
            <w:r w:rsidR="00E56115">
              <w:rPr>
                <w:rFonts w:asciiTheme="minorHAnsi" w:hAnsiTheme="minorHAnsi"/>
                <w:szCs w:val="22"/>
              </w:rPr>
              <w:t>(</w:t>
            </w:r>
            <w:r w:rsidRPr="00730CC1">
              <w:rPr>
                <w:rFonts w:asciiTheme="minorHAnsi" w:hAnsiTheme="minorHAnsi"/>
                <w:szCs w:val="22"/>
              </w:rPr>
              <w:t>8</w:t>
            </w:r>
            <w:r w:rsidR="00E56115">
              <w:rPr>
                <w:rFonts w:asciiTheme="minorHAnsi" w:hAnsiTheme="minorHAnsi"/>
                <w:szCs w:val="22"/>
              </w:rPr>
              <w:t> </w:t>
            </w:r>
            <w:r w:rsidRPr="00730CC1">
              <w:rPr>
                <w:rFonts w:asciiTheme="minorHAnsi" w:hAnsiTheme="minorHAnsi"/>
                <w:szCs w:val="22"/>
              </w:rPr>
              <w:t>444</w:t>
            </w:r>
            <w:r w:rsidR="00E56115">
              <w:rPr>
                <w:rFonts w:asciiTheme="minorHAnsi" w:hAnsiTheme="minorHAnsi"/>
                <w:szCs w:val="22"/>
              </w:rPr>
              <w:t xml:space="preserve">) </w:t>
            </w:r>
            <w:r w:rsidRPr="00730CC1">
              <w:rPr>
                <w:rFonts w:asciiTheme="minorHAnsi" w:hAnsiTheme="minorHAnsi"/>
                <w:szCs w:val="22"/>
              </w:rPr>
              <w:t>53</w:t>
            </w:r>
            <w:r w:rsidR="00E56115">
              <w:rPr>
                <w:rFonts w:asciiTheme="minorHAnsi" w:hAnsiTheme="minorHAnsi"/>
                <w:szCs w:val="22"/>
              </w:rPr>
              <w:t xml:space="preserve"> </w:t>
            </w:r>
            <w:r w:rsidRPr="00730CC1">
              <w:rPr>
                <w:rFonts w:asciiTheme="minorHAnsi" w:hAnsiTheme="minorHAnsi"/>
                <w:szCs w:val="22"/>
              </w:rPr>
              <w:t xml:space="preserve">895, </w:t>
            </w:r>
            <w:hyperlink r:id="rId21" w:history="1">
              <w:r w:rsidRPr="00730CC1">
                <w:rPr>
                  <w:rStyle w:val="Hyperlink"/>
                  <w:rFonts w:asciiTheme="minorHAnsi" w:hAnsiTheme="minorHAnsi"/>
                  <w:szCs w:val="22"/>
                </w:rPr>
                <w:t>Rimante.levickiene@telsiai.lt</w:t>
              </w:r>
            </w:hyperlink>
          </w:p>
        </w:tc>
        <w:tc>
          <w:tcPr>
            <w:tcW w:w="2114" w:type="dxa"/>
          </w:tcPr>
          <w:p w14:paraId="2EFEFF64" w14:textId="3E8760E6" w:rsidR="005E39AB" w:rsidRPr="00730CC1" w:rsidRDefault="005E39AB" w:rsidP="00FB736A">
            <w:pPr>
              <w:pStyle w:val="PlainText"/>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730CC1">
              <w:rPr>
                <w:rFonts w:asciiTheme="minorHAnsi" w:hAnsiTheme="minorHAnsi"/>
                <w:szCs w:val="22"/>
              </w:rPr>
              <w:t>2014-07-09 (telefonu)</w:t>
            </w:r>
          </w:p>
        </w:tc>
      </w:tr>
      <w:tr w:rsidR="005E39AB" w:rsidRPr="00730CC1" w14:paraId="3F63AE3C" w14:textId="77777777" w:rsidTr="005E39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8" w:type="dxa"/>
          </w:tcPr>
          <w:p w14:paraId="7D790ECB" w14:textId="5EC8BBE0" w:rsidR="005E39AB" w:rsidRPr="00730CC1" w:rsidRDefault="005E39AB" w:rsidP="005E39AB">
            <w:pPr>
              <w:pStyle w:val="PlainText"/>
              <w:rPr>
                <w:rFonts w:asciiTheme="minorHAnsi" w:hAnsiTheme="minorHAnsi"/>
                <w:szCs w:val="22"/>
              </w:rPr>
            </w:pPr>
            <w:r w:rsidRPr="00730CC1">
              <w:rPr>
                <w:rFonts w:asciiTheme="minorHAnsi" w:hAnsiTheme="minorHAnsi"/>
                <w:szCs w:val="22"/>
              </w:rPr>
              <w:t xml:space="preserve">Skirmantė </w:t>
            </w:r>
            <w:proofErr w:type="spellStart"/>
            <w:r w:rsidRPr="00730CC1">
              <w:rPr>
                <w:rFonts w:asciiTheme="minorHAnsi" w:hAnsiTheme="minorHAnsi"/>
                <w:szCs w:val="22"/>
              </w:rPr>
              <w:t>Kondratas</w:t>
            </w:r>
            <w:proofErr w:type="spellEnd"/>
            <w:r w:rsidRPr="00730CC1">
              <w:rPr>
                <w:rFonts w:asciiTheme="minorHAnsi" w:hAnsiTheme="minorHAnsi"/>
                <w:szCs w:val="22"/>
              </w:rPr>
              <w:t xml:space="preserve"> </w:t>
            </w:r>
          </w:p>
        </w:tc>
        <w:tc>
          <w:tcPr>
            <w:tcW w:w="4838" w:type="dxa"/>
          </w:tcPr>
          <w:p w14:paraId="15B73304" w14:textId="1D254E8E" w:rsidR="005E39AB" w:rsidRPr="00730CC1" w:rsidRDefault="005E39AB" w:rsidP="005E39AB">
            <w:pPr>
              <w:pStyle w:val="PlainText"/>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sidRPr="00730CC1">
              <w:rPr>
                <w:rFonts w:asciiTheme="minorHAnsi" w:hAnsiTheme="minorHAnsi"/>
                <w:szCs w:val="22"/>
              </w:rPr>
              <w:t xml:space="preserve">Nacionalinio skurdo mažinimo organizacijų tinklas, </w:t>
            </w:r>
            <w:proofErr w:type="spellStart"/>
            <w:r w:rsidRPr="00730CC1">
              <w:rPr>
                <w:rFonts w:asciiTheme="minorHAnsi" w:hAnsiTheme="minorHAnsi"/>
                <w:szCs w:val="22"/>
              </w:rPr>
              <w:t>tel</w:t>
            </w:r>
            <w:proofErr w:type="spellEnd"/>
            <w:r w:rsidRPr="00730CC1">
              <w:rPr>
                <w:rFonts w:asciiTheme="minorHAnsi" w:hAnsiTheme="minorHAnsi"/>
                <w:szCs w:val="22"/>
              </w:rPr>
              <w:t>. 8</w:t>
            </w:r>
            <w:r w:rsidR="00E56115">
              <w:rPr>
                <w:rFonts w:asciiTheme="minorHAnsi" w:hAnsiTheme="minorHAnsi"/>
                <w:szCs w:val="22"/>
              </w:rPr>
              <w:t> </w:t>
            </w:r>
            <w:r w:rsidRPr="00730CC1">
              <w:rPr>
                <w:rFonts w:asciiTheme="minorHAnsi" w:hAnsiTheme="minorHAnsi"/>
                <w:szCs w:val="22"/>
              </w:rPr>
              <w:t>678</w:t>
            </w:r>
            <w:r w:rsidR="00E56115">
              <w:rPr>
                <w:rFonts w:asciiTheme="minorHAnsi" w:hAnsiTheme="minorHAnsi"/>
                <w:szCs w:val="22"/>
              </w:rPr>
              <w:t xml:space="preserve"> </w:t>
            </w:r>
            <w:r w:rsidRPr="00730CC1">
              <w:rPr>
                <w:rFonts w:asciiTheme="minorHAnsi" w:hAnsiTheme="minorHAnsi"/>
                <w:szCs w:val="22"/>
              </w:rPr>
              <w:t>44</w:t>
            </w:r>
            <w:r w:rsidR="00E56115">
              <w:rPr>
                <w:rFonts w:asciiTheme="minorHAnsi" w:hAnsiTheme="minorHAnsi"/>
                <w:szCs w:val="22"/>
              </w:rPr>
              <w:t xml:space="preserve"> </w:t>
            </w:r>
            <w:r w:rsidRPr="00730CC1">
              <w:rPr>
                <w:rFonts w:asciiTheme="minorHAnsi" w:hAnsiTheme="minorHAnsi"/>
                <w:szCs w:val="22"/>
              </w:rPr>
              <w:t xml:space="preserve">395, </w:t>
            </w:r>
            <w:hyperlink r:id="rId22" w:history="1">
              <w:r w:rsidRPr="00730CC1">
                <w:rPr>
                  <w:rStyle w:val="Hyperlink"/>
                  <w:rFonts w:asciiTheme="minorHAnsi" w:hAnsiTheme="minorHAnsi"/>
                  <w:szCs w:val="22"/>
                </w:rPr>
                <w:t>info@stopskurdas.lt</w:t>
              </w:r>
            </w:hyperlink>
          </w:p>
        </w:tc>
        <w:tc>
          <w:tcPr>
            <w:tcW w:w="2114" w:type="dxa"/>
          </w:tcPr>
          <w:p w14:paraId="283975A9" w14:textId="29C21548" w:rsidR="005E39AB" w:rsidRPr="00730CC1" w:rsidRDefault="005E39AB" w:rsidP="00FB736A">
            <w:pPr>
              <w:pStyle w:val="PlainText"/>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sidRPr="00730CC1">
              <w:rPr>
                <w:rFonts w:asciiTheme="minorHAnsi" w:hAnsiTheme="minorHAnsi"/>
                <w:szCs w:val="22"/>
              </w:rPr>
              <w:t>2014-07-09</w:t>
            </w:r>
          </w:p>
        </w:tc>
      </w:tr>
    </w:tbl>
    <w:p w14:paraId="7D3CD9BE" w14:textId="77777777" w:rsidR="00FB736A" w:rsidRPr="00730CC1" w:rsidRDefault="00FB736A" w:rsidP="00FB736A">
      <w:pPr>
        <w:pStyle w:val="Text"/>
        <w:ind w:left="0"/>
        <w:rPr>
          <w:color w:val="036575" w:themeColor="accent5" w:themeTint="E6"/>
        </w:rPr>
      </w:pPr>
    </w:p>
    <w:p w14:paraId="2CC09A4D" w14:textId="77777777" w:rsidR="00A52582" w:rsidRPr="00730CC1" w:rsidRDefault="00A52582" w:rsidP="00A52582">
      <w:pPr>
        <w:pStyle w:val="Text"/>
      </w:pPr>
    </w:p>
    <w:p w14:paraId="72EDDE64" w14:textId="77777777" w:rsidR="00106629" w:rsidRPr="00730CC1" w:rsidRDefault="00106629" w:rsidP="007C7AD4">
      <w:pPr>
        <w:spacing w:after="200"/>
        <w:rPr>
          <w:rStyle w:val="Heading1Char"/>
        </w:rPr>
      </w:pPr>
    </w:p>
    <w:sectPr w:rsidR="00106629" w:rsidRPr="00730CC1" w:rsidSect="00CF34A6">
      <w:headerReference w:type="default" r:id="rId23"/>
      <w:footerReference w:type="default" r:id="rId24"/>
      <w:pgSz w:w="11906" w:h="16838"/>
      <w:pgMar w:top="567" w:right="743" w:bottom="522" w:left="1077" w:header="907" w:footer="397" w:gutter="0"/>
      <w:cols w:space="1296"/>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4BC732" w15:done="0"/>
  <w15:commentEx w15:paraId="706A092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9ABE2" w14:textId="77777777" w:rsidR="006D6B40" w:rsidRDefault="006D6B40" w:rsidP="00CC0457">
      <w:r>
        <w:separator/>
      </w:r>
    </w:p>
    <w:p w14:paraId="38B3E57A" w14:textId="77777777" w:rsidR="006D6B40" w:rsidRDefault="006D6B40"/>
    <w:p w14:paraId="68775435" w14:textId="77777777" w:rsidR="006D6B40" w:rsidRDefault="006D6B40"/>
    <w:p w14:paraId="44E65BC1" w14:textId="77777777" w:rsidR="006D6B40" w:rsidRDefault="006D6B40"/>
    <w:p w14:paraId="545AE789" w14:textId="77777777" w:rsidR="006D6B40" w:rsidRDefault="006D6B40"/>
  </w:endnote>
  <w:endnote w:type="continuationSeparator" w:id="0">
    <w:p w14:paraId="1AA07957" w14:textId="77777777" w:rsidR="006D6B40" w:rsidRDefault="006D6B40" w:rsidP="00CC0457">
      <w:r>
        <w:continuationSeparator/>
      </w:r>
    </w:p>
    <w:p w14:paraId="195BB6A8" w14:textId="77777777" w:rsidR="006D6B40" w:rsidRDefault="006D6B40"/>
    <w:p w14:paraId="6E7AF969" w14:textId="77777777" w:rsidR="006D6B40" w:rsidRDefault="006D6B40"/>
    <w:p w14:paraId="7EBF1BB0" w14:textId="77777777" w:rsidR="006D6B40" w:rsidRDefault="006D6B40"/>
    <w:p w14:paraId="04963A62" w14:textId="77777777" w:rsidR="006D6B40" w:rsidRDefault="006D6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EUAlbertina">
    <w:altName w:val="Times New Roman"/>
    <w:charset w:val="00"/>
    <w:family w:val="roman"/>
    <w:pitch w:val="default"/>
  </w:font>
  <w:font w:name="Arial">
    <w:panose1 w:val="020B0604020202020204"/>
    <w:charset w:val="BA"/>
    <w:family w:val="swiss"/>
    <w:pitch w:val="variable"/>
    <w:sig w:usb0="20002A87" w:usb1="00000000" w:usb2="00000000" w:usb3="00000000" w:csb0="000001FF" w:csb1="00000000"/>
  </w:font>
  <w:font w:name="TimesNewRoman">
    <w:altName w:val="Times New Roman"/>
    <w:panose1 w:val="00000000000000000000"/>
    <w:charset w:val="00"/>
    <w:family w:val="roman"/>
    <w:notTrueType/>
    <w:pitch w:val="default"/>
    <w:sig w:usb0="00000007" w:usb1="09060000" w:usb2="00000010" w:usb3="00000000" w:csb0="0008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858193"/>
      <w:docPartObj>
        <w:docPartGallery w:val="Page Numbers (Bottom of Page)"/>
        <w:docPartUnique/>
      </w:docPartObj>
    </w:sdtPr>
    <w:sdtEndPr>
      <w:rPr>
        <w:noProof/>
      </w:rPr>
    </w:sdtEndPr>
    <w:sdtContent>
      <w:p w14:paraId="60CCF469" w14:textId="11603799" w:rsidR="00066407" w:rsidRDefault="00066407">
        <w:pPr>
          <w:pStyle w:val="Footer"/>
          <w:jc w:val="center"/>
        </w:pPr>
        <w:r>
          <w:fldChar w:fldCharType="begin"/>
        </w:r>
        <w:r>
          <w:instrText xml:space="preserve"> PAGE   \* MERGEFORMAT </w:instrText>
        </w:r>
        <w:r>
          <w:fldChar w:fldCharType="separate"/>
        </w:r>
        <w:r w:rsidR="00CF34A6">
          <w:rPr>
            <w:noProof/>
          </w:rPr>
          <w:t>2</w:t>
        </w:r>
        <w:r>
          <w:rPr>
            <w:noProof/>
          </w:rPr>
          <w:fldChar w:fldCharType="end"/>
        </w:r>
      </w:p>
    </w:sdtContent>
  </w:sdt>
  <w:p w14:paraId="4C98C51E" w14:textId="77777777" w:rsidR="00066407" w:rsidRDefault="000664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88E7E" w14:textId="77777777" w:rsidR="006D6B40" w:rsidRDefault="006D6B40" w:rsidP="00CC0457">
      <w:r>
        <w:separator/>
      </w:r>
    </w:p>
  </w:footnote>
  <w:footnote w:type="continuationSeparator" w:id="0">
    <w:p w14:paraId="0596B105" w14:textId="77777777" w:rsidR="006D6B40" w:rsidRDefault="006D6B40" w:rsidP="00CC0457">
      <w:r>
        <w:continuationSeparator/>
      </w:r>
    </w:p>
  </w:footnote>
  <w:footnote w:type="continuationNotice" w:id="1">
    <w:p w14:paraId="1FE59C1D" w14:textId="77777777" w:rsidR="006D6B40" w:rsidRDefault="006D6B40"/>
  </w:footnote>
  <w:footnote w:id="2">
    <w:p w14:paraId="066B3BA0" w14:textId="77777777" w:rsidR="00066407" w:rsidRPr="00016141" w:rsidRDefault="00066407" w:rsidP="00767E0C">
      <w:pPr>
        <w:pStyle w:val="FootnoteText"/>
        <w:rPr>
          <w:lang w:val="en-US"/>
        </w:rPr>
      </w:pPr>
      <w:r>
        <w:rPr>
          <w:rStyle w:val="FootnoteReference"/>
        </w:rPr>
        <w:footnoteRef/>
      </w:r>
      <w:r>
        <w:t xml:space="preserve"> </w:t>
      </w:r>
      <w:r>
        <w:rPr>
          <w:lang w:val="en-US"/>
        </w:rPr>
        <w:t xml:space="preserve">2014 m. </w:t>
      </w:r>
      <w:proofErr w:type="spellStart"/>
      <w:r>
        <w:rPr>
          <w:lang w:val="en-US"/>
        </w:rPr>
        <w:t>kovo</w:t>
      </w:r>
      <w:proofErr w:type="spellEnd"/>
      <w:r>
        <w:rPr>
          <w:lang w:val="en-US"/>
        </w:rPr>
        <w:t xml:space="preserve"> 11 d. </w:t>
      </w:r>
      <w:proofErr w:type="spellStart"/>
      <w:r>
        <w:rPr>
          <w:lang w:val="en-US"/>
        </w:rPr>
        <w:t>Europos</w:t>
      </w:r>
      <w:proofErr w:type="spellEnd"/>
      <w:r>
        <w:rPr>
          <w:lang w:val="en-US"/>
        </w:rPr>
        <w:t xml:space="preserve"> </w:t>
      </w:r>
      <w:proofErr w:type="spellStart"/>
      <w:r>
        <w:rPr>
          <w:lang w:val="en-US"/>
        </w:rPr>
        <w:t>Parlamento</w:t>
      </w:r>
      <w:proofErr w:type="spellEnd"/>
      <w:r>
        <w:rPr>
          <w:lang w:val="en-US"/>
        </w:rPr>
        <w:t xml:space="preserve"> </w:t>
      </w:r>
      <w:proofErr w:type="spellStart"/>
      <w:r>
        <w:rPr>
          <w:lang w:val="en-US"/>
        </w:rPr>
        <w:t>ir</w:t>
      </w:r>
      <w:proofErr w:type="spellEnd"/>
      <w:r>
        <w:rPr>
          <w:lang w:val="en-US"/>
        </w:rPr>
        <w:t xml:space="preserve"> </w:t>
      </w:r>
      <w:proofErr w:type="spellStart"/>
      <w:r>
        <w:rPr>
          <w:lang w:val="en-US"/>
        </w:rPr>
        <w:t>Tarybos</w:t>
      </w:r>
      <w:proofErr w:type="spellEnd"/>
      <w:r>
        <w:rPr>
          <w:lang w:val="en-US"/>
        </w:rPr>
        <w:t xml:space="preserve"> </w:t>
      </w:r>
      <w:proofErr w:type="spellStart"/>
      <w:r>
        <w:rPr>
          <w:lang w:val="en-US"/>
        </w:rPr>
        <w:t>reglamentas</w:t>
      </w:r>
      <w:proofErr w:type="spellEnd"/>
      <w:r>
        <w:rPr>
          <w:lang w:val="en-US"/>
        </w:rPr>
        <w:t xml:space="preserve"> (ES) Nr. 223/2014 d</w:t>
      </w:r>
      <w:proofErr w:type="spellStart"/>
      <w:r>
        <w:t>ėl</w:t>
      </w:r>
      <w:proofErr w:type="spellEnd"/>
      <w:r>
        <w:t xml:space="preserve"> Europos pagalbos labiausiai skurstantiems asmenims fondo. </w:t>
      </w:r>
      <w:r w:rsidRPr="00016141">
        <w:rPr>
          <w:i/>
        </w:rPr>
        <w:t>Europos Sąjungos oficialusis leidinys</w:t>
      </w:r>
      <w:r>
        <w:t>, 2014-03-12.</w:t>
      </w:r>
    </w:p>
  </w:footnote>
  <w:footnote w:id="3">
    <w:p w14:paraId="153A553E" w14:textId="77777777" w:rsidR="00066407" w:rsidRPr="00654DE7" w:rsidRDefault="00066407" w:rsidP="00A074BA">
      <w:pPr>
        <w:pStyle w:val="FootnoteText"/>
        <w:jc w:val="both"/>
        <w:rPr>
          <w:i/>
        </w:rPr>
      </w:pPr>
      <w:r>
        <w:rPr>
          <w:rStyle w:val="FootnoteReference"/>
        </w:rPr>
        <w:footnoteRef/>
      </w:r>
      <w:r>
        <w:t xml:space="preserve"> </w:t>
      </w:r>
      <w:proofErr w:type="gramStart"/>
      <w:r>
        <w:rPr>
          <w:lang w:val="en-US"/>
        </w:rPr>
        <w:t xml:space="preserve">2014 m. </w:t>
      </w:r>
      <w:proofErr w:type="spellStart"/>
      <w:r>
        <w:rPr>
          <w:lang w:val="en-US"/>
        </w:rPr>
        <w:t>sausio</w:t>
      </w:r>
      <w:proofErr w:type="spellEnd"/>
      <w:r>
        <w:rPr>
          <w:lang w:val="en-US"/>
        </w:rPr>
        <w:t xml:space="preserve"> 22 d. </w:t>
      </w:r>
      <w:proofErr w:type="spellStart"/>
      <w:r>
        <w:rPr>
          <w:lang w:val="en-US"/>
        </w:rPr>
        <w:t>Lietuvos</w:t>
      </w:r>
      <w:proofErr w:type="spellEnd"/>
      <w:r>
        <w:rPr>
          <w:lang w:val="en-US"/>
        </w:rPr>
        <w:t xml:space="preserve"> </w:t>
      </w:r>
      <w:proofErr w:type="spellStart"/>
      <w:r>
        <w:rPr>
          <w:lang w:val="en-US"/>
        </w:rPr>
        <w:t>Respublikos</w:t>
      </w:r>
      <w:proofErr w:type="spellEnd"/>
      <w:r>
        <w:rPr>
          <w:lang w:val="en-US"/>
        </w:rPr>
        <w:t xml:space="preserve"> </w:t>
      </w:r>
      <w:proofErr w:type="spellStart"/>
      <w:r>
        <w:rPr>
          <w:lang w:val="en-US"/>
        </w:rPr>
        <w:t>Vyriausybės</w:t>
      </w:r>
      <w:proofErr w:type="spellEnd"/>
      <w:r>
        <w:rPr>
          <w:lang w:val="en-US"/>
        </w:rPr>
        <w:t xml:space="preserve"> </w:t>
      </w:r>
      <w:proofErr w:type="spellStart"/>
      <w:r>
        <w:rPr>
          <w:lang w:val="en-US"/>
        </w:rPr>
        <w:t>nutarimas</w:t>
      </w:r>
      <w:proofErr w:type="spellEnd"/>
      <w:r>
        <w:rPr>
          <w:lang w:val="en-US"/>
        </w:rPr>
        <w:t xml:space="preserve"> Nr. 55 </w:t>
      </w:r>
      <w:r>
        <w:t>„Dėl institucijų, atsakingų už Europos pagalbos labiausiai skurstantiems asmenims fondo administravimą Lietuvoje, paskyrimą“.</w:t>
      </w:r>
      <w:proofErr w:type="gramEnd"/>
    </w:p>
  </w:footnote>
  <w:footnote w:id="4">
    <w:p w14:paraId="5EC71817" w14:textId="3B436E49" w:rsidR="00066407" w:rsidRPr="00A074BA" w:rsidRDefault="00066407" w:rsidP="00A074BA">
      <w:pPr>
        <w:pStyle w:val="Text"/>
        <w:spacing w:after="0"/>
        <w:ind w:left="0"/>
        <w:rPr>
          <w:sz w:val="20"/>
          <w:szCs w:val="20"/>
        </w:rPr>
      </w:pPr>
      <w:r w:rsidRPr="00F01427">
        <w:rPr>
          <w:rStyle w:val="FootnoteReference"/>
          <w:sz w:val="20"/>
          <w:szCs w:val="20"/>
        </w:rPr>
        <w:footnoteRef/>
      </w:r>
      <w:r w:rsidRPr="00F01427">
        <w:rPr>
          <w:sz w:val="20"/>
          <w:szCs w:val="20"/>
        </w:rPr>
        <w:t xml:space="preserve"> VP I </w:t>
      </w:r>
      <w:r>
        <w:rPr>
          <w:sz w:val="20"/>
          <w:szCs w:val="20"/>
        </w:rPr>
        <w:t>–</w:t>
      </w:r>
      <w:r w:rsidRPr="00F01427">
        <w:rPr>
          <w:sz w:val="20"/>
          <w:szCs w:val="20"/>
        </w:rPr>
        <w:t xml:space="preserve"> </w:t>
      </w:r>
      <w:r w:rsidRPr="00F01427">
        <w:rPr>
          <w:rFonts w:cs="EUAlbertina"/>
          <w:color w:val="000000"/>
          <w:sz w:val="20"/>
          <w:szCs w:val="20"/>
        </w:rPr>
        <w:t>pagalbos maistu ir (arba) pagrindinės materialinės pagalbos veiksmų programa, kuria remiamas maisto produktų ir (arba) pagrindinės materialinės pagalbos skirstymas labiausiai skurstantiems asmenims, prireikus taikant papildomąsias priemones, kuriomis siekiama mažinti labiausiai skurstančių asmenų socialinę atskirtį.</w:t>
      </w:r>
    </w:p>
  </w:footnote>
  <w:footnote w:id="5">
    <w:p w14:paraId="16F40DCA" w14:textId="77777777" w:rsidR="00066407" w:rsidRPr="00654DE7" w:rsidRDefault="00066407" w:rsidP="00440F15">
      <w:pPr>
        <w:pStyle w:val="FootnoteText"/>
        <w:ind w:left="363"/>
        <w:jc w:val="both"/>
        <w:rPr>
          <w:lang w:val="en-US"/>
        </w:rPr>
      </w:pPr>
      <w:r>
        <w:rPr>
          <w:rStyle w:val="FootnoteReference"/>
        </w:rPr>
        <w:footnoteRef/>
      </w:r>
      <w:r>
        <w:t xml:space="preserve"> Reglamentas (ES) Nr. </w:t>
      </w:r>
      <w:proofErr w:type="gramStart"/>
      <w:r>
        <w:rPr>
          <w:lang w:val="en-US"/>
        </w:rPr>
        <w:t>223/2014.</w:t>
      </w:r>
      <w:proofErr w:type="gramEnd"/>
    </w:p>
  </w:footnote>
  <w:footnote w:id="6">
    <w:p w14:paraId="15ADDC91" w14:textId="24EAB20D" w:rsidR="00066407" w:rsidRPr="00014335" w:rsidRDefault="00066407" w:rsidP="00440F15">
      <w:pPr>
        <w:autoSpaceDE w:val="0"/>
        <w:autoSpaceDN w:val="0"/>
        <w:adjustRightInd w:val="0"/>
        <w:ind w:left="363"/>
        <w:jc w:val="both"/>
        <w:rPr>
          <w:rFonts w:cs="Calibri"/>
          <w:sz w:val="18"/>
          <w:szCs w:val="18"/>
        </w:rPr>
      </w:pPr>
      <w:r w:rsidRPr="00014335">
        <w:rPr>
          <w:rStyle w:val="FootnoteReference"/>
          <w:rFonts w:cs="Calibri"/>
          <w:sz w:val="18"/>
          <w:szCs w:val="18"/>
        </w:rPr>
        <w:footnoteRef/>
      </w:r>
      <w:r w:rsidRPr="00014335">
        <w:rPr>
          <w:rFonts w:cs="Calibri"/>
          <w:sz w:val="18"/>
          <w:szCs w:val="18"/>
        </w:rPr>
        <w:t xml:space="preserve"> Europos Komisijos komunikatas „2020 m. Europa. Pažangaus, tvaraus ir integracinio augimo strategija</w:t>
      </w:r>
      <w:r>
        <w:rPr>
          <w:rFonts w:cs="Calibri"/>
          <w:sz w:val="18"/>
          <w:szCs w:val="18"/>
        </w:rPr>
        <w:t>“</w:t>
      </w:r>
      <w:r w:rsidRPr="00014335">
        <w:rPr>
          <w:rFonts w:cs="Calibri"/>
          <w:sz w:val="18"/>
          <w:szCs w:val="18"/>
        </w:rPr>
        <w:t>. KOM(2010) 2020 galutinis, 2010-12-03.</w:t>
      </w:r>
    </w:p>
  </w:footnote>
  <w:footnote w:id="7">
    <w:p w14:paraId="49F36145" w14:textId="77777777" w:rsidR="00066407" w:rsidRPr="00014335" w:rsidRDefault="00066407" w:rsidP="00440F15">
      <w:pPr>
        <w:pStyle w:val="FootnoteText"/>
        <w:ind w:left="363"/>
        <w:jc w:val="both"/>
        <w:rPr>
          <w:sz w:val="18"/>
          <w:szCs w:val="18"/>
          <w:lang w:val="en-US"/>
        </w:rPr>
      </w:pPr>
      <w:r w:rsidRPr="00014335">
        <w:rPr>
          <w:rStyle w:val="FootnoteReference"/>
          <w:sz w:val="18"/>
          <w:szCs w:val="18"/>
        </w:rPr>
        <w:footnoteRef/>
      </w:r>
      <w:r w:rsidRPr="00014335">
        <w:rPr>
          <w:sz w:val="18"/>
          <w:szCs w:val="18"/>
        </w:rPr>
        <w:t xml:space="preserve"> Europos Komisijos komunikatas „Europos kovos sus skurdu ir socialine atskirtimi planas. </w:t>
      </w:r>
      <w:r>
        <w:rPr>
          <w:sz w:val="18"/>
          <w:szCs w:val="18"/>
        </w:rPr>
        <w:t>Europos socialinės ir teritorinės sanglaudos bendroji programa“. KOM (</w:t>
      </w:r>
      <w:r>
        <w:rPr>
          <w:sz w:val="18"/>
          <w:szCs w:val="18"/>
          <w:lang w:val="en-US"/>
        </w:rPr>
        <w:t xml:space="preserve">2010) 0758 </w:t>
      </w:r>
      <w:proofErr w:type="spellStart"/>
      <w:r>
        <w:rPr>
          <w:sz w:val="18"/>
          <w:szCs w:val="18"/>
          <w:lang w:val="en-US"/>
        </w:rPr>
        <w:t>galutinis</w:t>
      </w:r>
      <w:proofErr w:type="spellEnd"/>
      <w:r>
        <w:rPr>
          <w:sz w:val="18"/>
          <w:szCs w:val="18"/>
          <w:lang w:val="en-US"/>
        </w:rPr>
        <w:t>, 2010-12-16.</w:t>
      </w:r>
    </w:p>
  </w:footnote>
  <w:footnote w:id="8">
    <w:p w14:paraId="01AF6C1D" w14:textId="77777777" w:rsidR="00066407" w:rsidRPr="00301B40" w:rsidRDefault="00066407" w:rsidP="00440F15">
      <w:pPr>
        <w:pStyle w:val="FootnoteText"/>
        <w:ind w:left="363"/>
        <w:jc w:val="both"/>
        <w:rPr>
          <w:sz w:val="18"/>
          <w:szCs w:val="18"/>
          <w:lang w:val="en-US"/>
        </w:rPr>
      </w:pPr>
      <w:r>
        <w:rPr>
          <w:rStyle w:val="FootnoteReference"/>
        </w:rPr>
        <w:footnoteRef/>
      </w:r>
      <w:r>
        <w:t xml:space="preserve"> </w:t>
      </w:r>
      <w:proofErr w:type="spellStart"/>
      <w:r w:rsidRPr="00301B40">
        <w:rPr>
          <w:sz w:val="18"/>
          <w:szCs w:val="18"/>
        </w:rPr>
        <w:t>Regulation</w:t>
      </w:r>
      <w:proofErr w:type="spellEnd"/>
      <w:r w:rsidRPr="00301B40">
        <w:rPr>
          <w:sz w:val="18"/>
          <w:szCs w:val="18"/>
        </w:rPr>
        <w:t xml:space="preserve"> (EU) No 1303/2013 </w:t>
      </w:r>
      <w:proofErr w:type="spellStart"/>
      <w:r w:rsidRPr="00301B40">
        <w:rPr>
          <w:sz w:val="18"/>
          <w:szCs w:val="18"/>
        </w:rPr>
        <w:t>of</w:t>
      </w:r>
      <w:proofErr w:type="spellEnd"/>
      <w:r w:rsidRPr="00301B40">
        <w:rPr>
          <w:sz w:val="18"/>
          <w:szCs w:val="18"/>
        </w:rPr>
        <w:t xml:space="preserve"> </w:t>
      </w:r>
      <w:proofErr w:type="spellStart"/>
      <w:r w:rsidRPr="00301B40">
        <w:rPr>
          <w:sz w:val="18"/>
          <w:szCs w:val="18"/>
        </w:rPr>
        <w:t>the</w:t>
      </w:r>
      <w:proofErr w:type="spellEnd"/>
      <w:r w:rsidRPr="00301B40">
        <w:rPr>
          <w:sz w:val="18"/>
          <w:szCs w:val="18"/>
        </w:rPr>
        <w:t xml:space="preserve"> </w:t>
      </w:r>
      <w:proofErr w:type="spellStart"/>
      <w:r w:rsidRPr="00301B40">
        <w:rPr>
          <w:sz w:val="18"/>
          <w:szCs w:val="18"/>
        </w:rPr>
        <w:t>European</w:t>
      </w:r>
      <w:proofErr w:type="spellEnd"/>
      <w:r w:rsidRPr="00301B40">
        <w:rPr>
          <w:sz w:val="18"/>
          <w:szCs w:val="18"/>
        </w:rPr>
        <w:t xml:space="preserve"> </w:t>
      </w:r>
      <w:proofErr w:type="spellStart"/>
      <w:r w:rsidRPr="00301B40">
        <w:rPr>
          <w:sz w:val="18"/>
          <w:szCs w:val="18"/>
        </w:rPr>
        <w:t>parliament</w:t>
      </w:r>
      <w:proofErr w:type="spellEnd"/>
      <w:r w:rsidRPr="00301B40">
        <w:rPr>
          <w:sz w:val="18"/>
          <w:szCs w:val="18"/>
        </w:rPr>
        <w:t xml:space="preserve"> </w:t>
      </w:r>
      <w:proofErr w:type="spellStart"/>
      <w:r w:rsidRPr="00301B40">
        <w:rPr>
          <w:sz w:val="18"/>
          <w:szCs w:val="18"/>
        </w:rPr>
        <w:t>and</w:t>
      </w:r>
      <w:proofErr w:type="spellEnd"/>
      <w:r w:rsidRPr="00301B40">
        <w:rPr>
          <w:sz w:val="18"/>
          <w:szCs w:val="18"/>
        </w:rPr>
        <w:t xml:space="preserve"> </w:t>
      </w:r>
      <w:proofErr w:type="spellStart"/>
      <w:r w:rsidRPr="00301B40">
        <w:rPr>
          <w:sz w:val="18"/>
          <w:szCs w:val="18"/>
        </w:rPr>
        <w:t>of</w:t>
      </w:r>
      <w:proofErr w:type="spellEnd"/>
      <w:r w:rsidRPr="00301B40">
        <w:rPr>
          <w:sz w:val="18"/>
          <w:szCs w:val="18"/>
        </w:rPr>
        <w:t xml:space="preserve"> </w:t>
      </w:r>
      <w:proofErr w:type="spellStart"/>
      <w:r w:rsidRPr="00301B40">
        <w:rPr>
          <w:sz w:val="18"/>
          <w:szCs w:val="18"/>
        </w:rPr>
        <w:t>the</w:t>
      </w:r>
      <w:proofErr w:type="spellEnd"/>
      <w:r w:rsidRPr="00301B40">
        <w:rPr>
          <w:sz w:val="18"/>
          <w:szCs w:val="18"/>
        </w:rPr>
        <w:t xml:space="preserve"> </w:t>
      </w:r>
      <w:proofErr w:type="spellStart"/>
      <w:r w:rsidRPr="00301B40">
        <w:rPr>
          <w:sz w:val="18"/>
          <w:szCs w:val="18"/>
        </w:rPr>
        <w:t>Council</w:t>
      </w:r>
      <w:proofErr w:type="spellEnd"/>
      <w:r w:rsidRPr="00301B40">
        <w:rPr>
          <w:sz w:val="18"/>
          <w:szCs w:val="18"/>
        </w:rPr>
        <w:t xml:space="preserve"> </w:t>
      </w:r>
      <w:proofErr w:type="spellStart"/>
      <w:r w:rsidRPr="00301B40">
        <w:rPr>
          <w:sz w:val="18"/>
          <w:szCs w:val="18"/>
        </w:rPr>
        <w:t>of</w:t>
      </w:r>
      <w:proofErr w:type="spellEnd"/>
      <w:r w:rsidRPr="00301B40">
        <w:rPr>
          <w:sz w:val="18"/>
          <w:szCs w:val="18"/>
        </w:rPr>
        <w:t xml:space="preserve"> 17 </w:t>
      </w:r>
      <w:proofErr w:type="spellStart"/>
      <w:r w:rsidRPr="00301B40">
        <w:rPr>
          <w:sz w:val="18"/>
          <w:szCs w:val="18"/>
        </w:rPr>
        <w:t>December</w:t>
      </w:r>
      <w:proofErr w:type="spellEnd"/>
      <w:r w:rsidRPr="00301B40">
        <w:rPr>
          <w:sz w:val="18"/>
          <w:szCs w:val="18"/>
        </w:rPr>
        <w:t xml:space="preserve"> 2013 </w:t>
      </w:r>
      <w:proofErr w:type="spellStart"/>
      <w:r w:rsidRPr="00301B40">
        <w:rPr>
          <w:sz w:val="18"/>
          <w:szCs w:val="18"/>
        </w:rPr>
        <w:t>laying</w:t>
      </w:r>
      <w:proofErr w:type="spellEnd"/>
      <w:r w:rsidRPr="00301B40">
        <w:rPr>
          <w:sz w:val="18"/>
          <w:szCs w:val="18"/>
        </w:rPr>
        <w:t xml:space="preserve"> </w:t>
      </w:r>
      <w:proofErr w:type="spellStart"/>
      <w:r w:rsidRPr="00301B40">
        <w:rPr>
          <w:sz w:val="18"/>
          <w:szCs w:val="18"/>
        </w:rPr>
        <w:t>down</w:t>
      </w:r>
      <w:proofErr w:type="spellEnd"/>
      <w:r w:rsidRPr="00301B40">
        <w:rPr>
          <w:sz w:val="18"/>
          <w:szCs w:val="18"/>
        </w:rPr>
        <w:t xml:space="preserve"> </w:t>
      </w:r>
      <w:proofErr w:type="spellStart"/>
      <w:r w:rsidRPr="00301B40">
        <w:rPr>
          <w:sz w:val="18"/>
          <w:szCs w:val="18"/>
        </w:rPr>
        <w:t>common</w:t>
      </w:r>
      <w:proofErr w:type="spellEnd"/>
      <w:r w:rsidRPr="00301B40">
        <w:rPr>
          <w:sz w:val="18"/>
          <w:szCs w:val="18"/>
        </w:rPr>
        <w:t xml:space="preserve"> </w:t>
      </w:r>
      <w:proofErr w:type="spellStart"/>
      <w:r w:rsidRPr="00301B40">
        <w:rPr>
          <w:sz w:val="18"/>
          <w:szCs w:val="18"/>
        </w:rPr>
        <w:t>provisions</w:t>
      </w:r>
      <w:proofErr w:type="spellEnd"/>
      <w:r w:rsidRPr="00301B40">
        <w:rPr>
          <w:sz w:val="18"/>
          <w:szCs w:val="18"/>
        </w:rPr>
        <w:t xml:space="preserve"> </w:t>
      </w:r>
      <w:proofErr w:type="spellStart"/>
      <w:r w:rsidRPr="00301B40">
        <w:rPr>
          <w:sz w:val="18"/>
          <w:szCs w:val="18"/>
        </w:rPr>
        <w:t>on</w:t>
      </w:r>
      <w:proofErr w:type="spellEnd"/>
      <w:r w:rsidRPr="00301B40">
        <w:rPr>
          <w:sz w:val="18"/>
          <w:szCs w:val="18"/>
        </w:rPr>
        <w:t xml:space="preserve"> </w:t>
      </w:r>
      <w:proofErr w:type="spellStart"/>
      <w:r w:rsidRPr="00301B40">
        <w:rPr>
          <w:sz w:val="18"/>
          <w:szCs w:val="18"/>
        </w:rPr>
        <w:t>the</w:t>
      </w:r>
      <w:proofErr w:type="spellEnd"/>
      <w:r w:rsidRPr="00301B40">
        <w:rPr>
          <w:sz w:val="18"/>
          <w:szCs w:val="18"/>
        </w:rPr>
        <w:t xml:space="preserve"> </w:t>
      </w:r>
      <w:proofErr w:type="spellStart"/>
      <w:r w:rsidRPr="00301B40">
        <w:rPr>
          <w:sz w:val="18"/>
          <w:szCs w:val="18"/>
        </w:rPr>
        <w:t>European</w:t>
      </w:r>
      <w:proofErr w:type="spellEnd"/>
      <w:r w:rsidRPr="00301B40">
        <w:rPr>
          <w:sz w:val="18"/>
          <w:szCs w:val="18"/>
        </w:rPr>
        <w:t xml:space="preserve"> </w:t>
      </w:r>
      <w:proofErr w:type="spellStart"/>
      <w:r w:rsidRPr="00301B40">
        <w:rPr>
          <w:sz w:val="18"/>
          <w:szCs w:val="18"/>
        </w:rPr>
        <w:t>Regional</w:t>
      </w:r>
      <w:proofErr w:type="spellEnd"/>
      <w:r w:rsidRPr="00301B40">
        <w:rPr>
          <w:sz w:val="18"/>
          <w:szCs w:val="18"/>
        </w:rPr>
        <w:t xml:space="preserve"> </w:t>
      </w:r>
      <w:proofErr w:type="spellStart"/>
      <w:r w:rsidRPr="00301B40">
        <w:rPr>
          <w:sz w:val="18"/>
          <w:szCs w:val="18"/>
        </w:rPr>
        <w:t>Development</w:t>
      </w:r>
      <w:proofErr w:type="spellEnd"/>
      <w:r w:rsidRPr="00301B40">
        <w:rPr>
          <w:sz w:val="18"/>
          <w:szCs w:val="18"/>
        </w:rPr>
        <w:t xml:space="preserve"> </w:t>
      </w:r>
      <w:proofErr w:type="spellStart"/>
      <w:r w:rsidRPr="00301B40">
        <w:rPr>
          <w:sz w:val="18"/>
          <w:szCs w:val="18"/>
        </w:rPr>
        <w:t>Fund</w:t>
      </w:r>
      <w:proofErr w:type="spellEnd"/>
      <w:r w:rsidRPr="00301B40">
        <w:rPr>
          <w:sz w:val="18"/>
          <w:szCs w:val="18"/>
        </w:rPr>
        <w:t xml:space="preserve">, </w:t>
      </w:r>
      <w:proofErr w:type="spellStart"/>
      <w:r w:rsidRPr="00301B40">
        <w:rPr>
          <w:sz w:val="18"/>
          <w:szCs w:val="18"/>
        </w:rPr>
        <w:t>the</w:t>
      </w:r>
      <w:proofErr w:type="spellEnd"/>
      <w:r w:rsidRPr="00301B40">
        <w:rPr>
          <w:sz w:val="18"/>
          <w:szCs w:val="18"/>
        </w:rPr>
        <w:t xml:space="preserve"> </w:t>
      </w:r>
      <w:proofErr w:type="spellStart"/>
      <w:r w:rsidRPr="00301B40">
        <w:rPr>
          <w:sz w:val="18"/>
          <w:szCs w:val="18"/>
        </w:rPr>
        <w:t>European</w:t>
      </w:r>
      <w:proofErr w:type="spellEnd"/>
      <w:r w:rsidRPr="00301B40">
        <w:rPr>
          <w:sz w:val="18"/>
          <w:szCs w:val="18"/>
        </w:rPr>
        <w:t xml:space="preserve"> </w:t>
      </w:r>
      <w:proofErr w:type="spellStart"/>
      <w:r w:rsidRPr="00301B40">
        <w:rPr>
          <w:sz w:val="18"/>
          <w:szCs w:val="18"/>
        </w:rPr>
        <w:t>Social</w:t>
      </w:r>
      <w:proofErr w:type="spellEnd"/>
      <w:r w:rsidRPr="00301B40">
        <w:rPr>
          <w:sz w:val="18"/>
          <w:szCs w:val="18"/>
        </w:rPr>
        <w:t xml:space="preserve"> </w:t>
      </w:r>
      <w:proofErr w:type="spellStart"/>
      <w:r w:rsidRPr="00301B40">
        <w:rPr>
          <w:sz w:val="18"/>
          <w:szCs w:val="18"/>
        </w:rPr>
        <w:t>Fund</w:t>
      </w:r>
      <w:proofErr w:type="spellEnd"/>
      <w:r w:rsidRPr="00301B40">
        <w:rPr>
          <w:sz w:val="18"/>
          <w:szCs w:val="18"/>
        </w:rPr>
        <w:t xml:space="preserve">, </w:t>
      </w:r>
      <w:proofErr w:type="spellStart"/>
      <w:r w:rsidRPr="00301B40">
        <w:rPr>
          <w:sz w:val="18"/>
          <w:szCs w:val="18"/>
        </w:rPr>
        <w:t>the</w:t>
      </w:r>
      <w:proofErr w:type="spellEnd"/>
      <w:r w:rsidRPr="00301B40">
        <w:rPr>
          <w:sz w:val="18"/>
          <w:szCs w:val="18"/>
        </w:rPr>
        <w:t xml:space="preserve"> </w:t>
      </w:r>
      <w:proofErr w:type="spellStart"/>
      <w:r w:rsidRPr="00301B40">
        <w:rPr>
          <w:sz w:val="18"/>
          <w:szCs w:val="18"/>
        </w:rPr>
        <w:t>Cohesion</w:t>
      </w:r>
      <w:proofErr w:type="spellEnd"/>
      <w:r w:rsidRPr="00301B40">
        <w:rPr>
          <w:sz w:val="18"/>
          <w:szCs w:val="18"/>
        </w:rPr>
        <w:t xml:space="preserve"> </w:t>
      </w:r>
      <w:proofErr w:type="spellStart"/>
      <w:r w:rsidRPr="00301B40">
        <w:rPr>
          <w:sz w:val="18"/>
          <w:szCs w:val="18"/>
        </w:rPr>
        <w:t>Fund</w:t>
      </w:r>
      <w:proofErr w:type="spellEnd"/>
      <w:r w:rsidRPr="00301B40">
        <w:rPr>
          <w:sz w:val="18"/>
          <w:szCs w:val="18"/>
        </w:rPr>
        <w:t xml:space="preserve">, </w:t>
      </w:r>
      <w:proofErr w:type="spellStart"/>
      <w:r w:rsidRPr="00301B40">
        <w:rPr>
          <w:sz w:val="18"/>
          <w:szCs w:val="18"/>
        </w:rPr>
        <w:t>the</w:t>
      </w:r>
      <w:proofErr w:type="spellEnd"/>
      <w:r w:rsidRPr="00301B40">
        <w:rPr>
          <w:sz w:val="18"/>
          <w:szCs w:val="18"/>
        </w:rPr>
        <w:t xml:space="preserve"> </w:t>
      </w:r>
      <w:proofErr w:type="spellStart"/>
      <w:r w:rsidRPr="00301B40">
        <w:rPr>
          <w:sz w:val="18"/>
          <w:szCs w:val="18"/>
        </w:rPr>
        <w:t>European</w:t>
      </w:r>
      <w:proofErr w:type="spellEnd"/>
      <w:r w:rsidRPr="00301B40">
        <w:rPr>
          <w:sz w:val="18"/>
          <w:szCs w:val="18"/>
        </w:rPr>
        <w:t xml:space="preserve"> </w:t>
      </w:r>
      <w:proofErr w:type="spellStart"/>
      <w:r w:rsidRPr="00301B40">
        <w:rPr>
          <w:sz w:val="18"/>
          <w:szCs w:val="18"/>
        </w:rPr>
        <w:t>Agricultural</w:t>
      </w:r>
      <w:proofErr w:type="spellEnd"/>
      <w:r w:rsidRPr="00301B40">
        <w:rPr>
          <w:sz w:val="18"/>
          <w:szCs w:val="18"/>
        </w:rPr>
        <w:t xml:space="preserve"> </w:t>
      </w:r>
      <w:proofErr w:type="spellStart"/>
      <w:r w:rsidRPr="00301B40">
        <w:rPr>
          <w:sz w:val="18"/>
          <w:szCs w:val="18"/>
        </w:rPr>
        <w:t>Fund</w:t>
      </w:r>
      <w:proofErr w:type="spellEnd"/>
      <w:r w:rsidRPr="00301B40">
        <w:rPr>
          <w:sz w:val="18"/>
          <w:szCs w:val="18"/>
        </w:rPr>
        <w:t xml:space="preserve"> </w:t>
      </w:r>
      <w:proofErr w:type="spellStart"/>
      <w:r w:rsidRPr="00301B40">
        <w:rPr>
          <w:sz w:val="18"/>
          <w:szCs w:val="18"/>
        </w:rPr>
        <w:t>for</w:t>
      </w:r>
      <w:proofErr w:type="spellEnd"/>
      <w:r w:rsidRPr="00301B40">
        <w:rPr>
          <w:sz w:val="18"/>
          <w:szCs w:val="18"/>
        </w:rPr>
        <w:t xml:space="preserve"> </w:t>
      </w:r>
      <w:proofErr w:type="spellStart"/>
      <w:r w:rsidRPr="00301B40">
        <w:rPr>
          <w:sz w:val="18"/>
          <w:szCs w:val="18"/>
        </w:rPr>
        <w:t>Rural</w:t>
      </w:r>
      <w:proofErr w:type="spellEnd"/>
      <w:r w:rsidRPr="00301B40">
        <w:rPr>
          <w:sz w:val="18"/>
          <w:szCs w:val="18"/>
        </w:rPr>
        <w:t xml:space="preserve"> </w:t>
      </w:r>
      <w:proofErr w:type="spellStart"/>
      <w:r w:rsidRPr="00301B40">
        <w:rPr>
          <w:sz w:val="18"/>
          <w:szCs w:val="18"/>
        </w:rPr>
        <w:t>Development</w:t>
      </w:r>
      <w:proofErr w:type="spellEnd"/>
      <w:r w:rsidRPr="00301B40">
        <w:rPr>
          <w:sz w:val="18"/>
          <w:szCs w:val="18"/>
        </w:rPr>
        <w:t xml:space="preserve"> </w:t>
      </w:r>
      <w:proofErr w:type="spellStart"/>
      <w:r w:rsidRPr="00301B40">
        <w:rPr>
          <w:sz w:val="18"/>
          <w:szCs w:val="18"/>
        </w:rPr>
        <w:t>and</w:t>
      </w:r>
      <w:proofErr w:type="spellEnd"/>
      <w:r w:rsidRPr="00301B40">
        <w:rPr>
          <w:sz w:val="18"/>
          <w:szCs w:val="18"/>
        </w:rPr>
        <w:t xml:space="preserve"> </w:t>
      </w:r>
      <w:proofErr w:type="spellStart"/>
      <w:r w:rsidRPr="00301B40">
        <w:rPr>
          <w:sz w:val="18"/>
          <w:szCs w:val="18"/>
        </w:rPr>
        <w:t>the</w:t>
      </w:r>
      <w:proofErr w:type="spellEnd"/>
      <w:r w:rsidRPr="00301B40">
        <w:rPr>
          <w:sz w:val="18"/>
          <w:szCs w:val="18"/>
        </w:rPr>
        <w:t xml:space="preserve"> </w:t>
      </w:r>
      <w:proofErr w:type="spellStart"/>
      <w:r w:rsidRPr="00301B40">
        <w:rPr>
          <w:sz w:val="18"/>
          <w:szCs w:val="18"/>
        </w:rPr>
        <w:t>European</w:t>
      </w:r>
      <w:proofErr w:type="spellEnd"/>
      <w:r w:rsidRPr="00301B40">
        <w:rPr>
          <w:sz w:val="18"/>
          <w:szCs w:val="18"/>
        </w:rPr>
        <w:t xml:space="preserve"> </w:t>
      </w:r>
      <w:proofErr w:type="spellStart"/>
      <w:r w:rsidRPr="00301B40">
        <w:rPr>
          <w:sz w:val="18"/>
          <w:szCs w:val="18"/>
        </w:rPr>
        <w:t>Maritime</w:t>
      </w:r>
      <w:proofErr w:type="spellEnd"/>
      <w:r w:rsidRPr="00301B40">
        <w:rPr>
          <w:sz w:val="18"/>
          <w:szCs w:val="18"/>
        </w:rPr>
        <w:t xml:space="preserve"> </w:t>
      </w:r>
      <w:proofErr w:type="spellStart"/>
      <w:r w:rsidRPr="00301B40">
        <w:rPr>
          <w:sz w:val="18"/>
          <w:szCs w:val="18"/>
        </w:rPr>
        <w:t>and</w:t>
      </w:r>
      <w:proofErr w:type="spellEnd"/>
      <w:r w:rsidRPr="00301B40">
        <w:rPr>
          <w:sz w:val="18"/>
          <w:szCs w:val="18"/>
        </w:rPr>
        <w:t xml:space="preserve"> </w:t>
      </w:r>
      <w:proofErr w:type="spellStart"/>
      <w:r w:rsidRPr="00301B40">
        <w:rPr>
          <w:sz w:val="18"/>
          <w:szCs w:val="18"/>
        </w:rPr>
        <w:t>Fisheries</w:t>
      </w:r>
      <w:proofErr w:type="spellEnd"/>
      <w:r w:rsidRPr="00301B40">
        <w:rPr>
          <w:sz w:val="18"/>
          <w:szCs w:val="18"/>
        </w:rPr>
        <w:t xml:space="preserve"> </w:t>
      </w:r>
      <w:proofErr w:type="spellStart"/>
      <w:r w:rsidRPr="00301B40">
        <w:rPr>
          <w:sz w:val="18"/>
          <w:szCs w:val="18"/>
        </w:rPr>
        <w:t>Fund</w:t>
      </w:r>
      <w:proofErr w:type="spellEnd"/>
      <w:r w:rsidRPr="00301B40">
        <w:rPr>
          <w:sz w:val="18"/>
          <w:szCs w:val="18"/>
        </w:rPr>
        <w:t xml:space="preserve"> </w:t>
      </w:r>
      <w:proofErr w:type="spellStart"/>
      <w:r w:rsidRPr="00301B40">
        <w:rPr>
          <w:sz w:val="18"/>
          <w:szCs w:val="18"/>
        </w:rPr>
        <w:t>and</w:t>
      </w:r>
      <w:proofErr w:type="spellEnd"/>
      <w:r w:rsidRPr="00301B40">
        <w:rPr>
          <w:sz w:val="18"/>
          <w:szCs w:val="18"/>
        </w:rPr>
        <w:t xml:space="preserve"> </w:t>
      </w:r>
      <w:proofErr w:type="spellStart"/>
      <w:r w:rsidRPr="00301B40">
        <w:rPr>
          <w:sz w:val="18"/>
          <w:szCs w:val="18"/>
        </w:rPr>
        <w:t>laying</w:t>
      </w:r>
      <w:proofErr w:type="spellEnd"/>
      <w:r w:rsidRPr="00301B40">
        <w:rPr>
          <w:sz w:val="18"/>
          <w:szCs w:val="18"/>
        </w:rPr>
        <w:t xml:space="preserve"> </w:t>
      </w:r>
      <w:proofErr w:type="spellStart"/>
      <w:r w:rsidRPr="00301B40">
        <w:rPr>
          <w:sz w:val="18"/>
          <w:szCs w:val="18"/>
        </w:rPr>
        <w:t>down</w:t>
      </w:r>
      <w:proofErr w:type="spellEnd"/>
      <w:r w:rsidRPr="00301B40">
        <w:rPr>
          <w:sz w:val="18"/>
          <w:szCs w:val="18"/>
        </w:rPr>
        <w:t xml:space="preserve"> </w:t>
      </w:r>
      <w:proofErr w:type="spellStart"/>
      <w:r w:rsidRPr="00301B40">
        <w:rPr>
          <w:sz w:val="18"/>
          <w:szCs w:val="18"/>
        </w:rPr>
        <w:t>general</w:t>
      </w:r>
      <w:proofErr w:type="spellEnd"/>
      <w:r w:rsidRPr="00301B40">
        <w:rPr>
          <w:sz w:val="18"/>
          <w:szCs w:val="18"/>
        </w:rPr>
        <w:t xml:space="preserve"> </w:t>
      </w:r>
      <w:proofErr w:type="spellStart"/>
      <w:r w:rsidRPr="00301B40">
        <w:rPr>
          <w:sz w:val="18"/>
          <w:szCs w:val="18"/>
        </w:rPr>
        <w:t>provisions</w:t>
      </w:r>
      <w:proofErr w:type="spellEnd"/>
      <w:r w:rsidRPr="00301B40">
        <w:rPr>
          <w:sz w:val="18"/>
          <w:szCs w:val="18"/>
        </w:rPr>
        <w:t xml:space="preserve"> </w:t>
      </w:r>
      <w:proofErr w:type="spellStart"/>
      <w:r w:rsidRPr="00301B40">
        <w:rPr>
          <w:sz w:val="18"/>
          <w:szCs w:val="18"/>
        </w:rPr>
        <w:t>on</w:t>
      </w:r>
      <w:proofErr w:type="spellEnd"/>
      <w:r w:rsidRPr="00301B40">
        <w:rPr>
          <w:sz w:val="18"/>
          <w:szCs w:val="18"/>
        </w:rPr>
        <w:t xml:space="preserve"> </w:t>
      </w:r>
      <w:proofErr w:type="spellStart"/>
      <w:r w:rsidRPr="00301B40">
        <w:rPr>
          <w:sz w:val="18"/>
          <w:szCs w:val="18"/>
        </w:rPr>
        <w:t>the</w:t>
      </w:r>
      <w:proofErr w:type="spellEnd"/>
      <w:r w:rsidRPr="00301B40">
        <w:rPr>
          <w:sz w:val="18"/>
          <w:szCs w:val="18"/>
        </w:rPr>
        <w:t xml:space="preserve"> </w:t>
      </w:r>
      <w:proofErr w:type="spellStart"/>
      <w:r w:rsidRPr="00301B40">
        <w:rPr>
          <w:sz w:val="18"/>
          <w:szCs w:val="18"/>
        </w:rPr>
        <w:t>on</w:t>
      </w:r>
      <w:proofErr w:type="spellEnd"/>
      <w:r w:rsidRPr="00301B40">
        <w:rPr>
          <w:sz w:val="18"/>
          <w:szCs w:val="18"/>
        </w:rPr>
        <w:t xml:space="preserve"> </w:t>
      </w:r>
      <w:proofErr w:type="spellStart"/>
      <w:r w:rsidRPr="00301B40">
        <w:rPr>
          <w:sz w:val="18"/>
          <w:szCs w:val="18"/>
        </w:rPr>
        <w:t>the</w:t>
      </w:r>
      <w:proofErr w:type="spellEnd"/>
      <w:r w:rsidRPr="00301B40">
        <w:rPr>
          <w:sz w:val="18"/>
          <w:szCs w:val="18"/>
        </w:rPr>
        <w:t xml:space="preserve"> </w:t>
      </w:r>
      <w:proofErr w:type="spellStart"/>
      <w:r w:rsidRPr="00301B40">
        <w:rPr>
          <w:sz w:val="18"/>
          <w:szCs w:val="18"/>
        </w:rPr>
        <w:t>European</w:t>
      </w:r>
      <w:proofErr w:type="spellEnd"/>
      <w:r w:rsidRPr="00301B40">
        <w:rPr>
          <w:sz w:val="18"/>
          <w:szCs w:val="18"/>
        </w:rPr>
        <w:t xml:space="preserve"> </w:t>
      </w:r>
      <w:proofErr w:type="spellStart"/>
      <w:r w:rsidRPr="00301B40">
        <w:rPr>
          <w:sz w:val="18"/>
          <w:szCs w:val="18"/>
        </w:rPr>
        <w:t>Regional</w:t>
      </w:r>
      <w:proofErr w:type="spellEnd"/>
      <w:r w:rsidRPr="00301B40">
        <w:rPr>
          <w:sz w:val="18"/>
          <w:szCs w:val="18"/>
        </w:rPr>
        <w:t xml:space="preserve"> </w:t>
      </w:r>
      <w:proofErr w:type="spellStart"/>
      <w:r w:rsidRPr="00301B40">
        <w:rPr>
          <w:sz w:val="18"/>
          <w:szCs w:val="18"/>
        </w:rPr>
        <w:t>Development</w:t>
      </w:r>
      <w:proofErr w:type="spellEnd"/>
      <w:r w:rsidRPr="00301B40">
        <w:rPr>
          <w:sz w:val="18"/>
          <w:szCs w:val="18"/>
        </w:rPr>
        <w:t xml:space="preserve"> </w:t>
      </w:r>
      <w:proofErr w:type="spellStart"/>
      <w:r w:rsidRPr="00301B40">
        <w:rPr>
          <w:sz w:val="18"/>
          <w:szCs w:val="18"/>
        </w:rPr>
        <w:t>Fund</w:t>
      </w:r>
      <w:proofErr w:type="spellEnd"/>
      <w:r w:rsidRPr="00301B40">
        <w:rPr>
          <w:sz w:val="18"/>
          <w:szCs w:val="18"/>
        </w:rPr>
        <w:t xml:space="preserve">, </w:t>
      </w:r>
      <w:proofErr w:type="spellStart"/>
      <w:r w:rsidRPr="00301B40">
        <w:rPr>
          <w:sz w:val="18"/>
          <w:szCs w:val="18"/>
        </w:rPr>
        <w:t>the</w:t>
      </w:r>
      <w:proofErr w:type="spellEnd"/>
      <w:r w:rsidRPr="00301B40">
        <w:rPr>
          <w:sz w:val="18"/>
          <w:szCs w:val="18"/>
        </w:rPr>
        <w:t xml:space="preserve"> </w:t>
      </w:r>
      <w:proofErr w:type="spellStart"/>
      <w:r w:rsidRPr="00301B40">
        <w:rPr>
          <w:sz w:val="18"/>
          <w:szCs w:val="18"/>
        </w:rPr>
        <w:t>European</w:t>
      </w:r>
      <w:proofErr w:type="spellEnd"/>
      <w:r w:rsidRPr="00301B40">
        <w:rPr>
          <w:sz w:val="18"/>
          <w:szCs w:val="18"/>
        </w:rPr>
        <w:t xml:space="preserve"> </w:t>
      </w:r>
      <w:proofErr w:type="spellStart"/>
      <w:r w:rsidRPr="00301B40">
        <w:rPr>
          <w:sz w:val="18"/>
          <w:szCs w:val="18"/>
        </w:rPr>
        <w:t>Social</w:t>
      </w:r>
      <w:proofErr w:type="spellEnd"/>
      <w:r w:rsidRPr="00301B40">
        <w:rPr>
          <w:sz w:val="18"/>
          <w:szCs w:val="18"/>
        </w:rPr>
        <w:t xml:space="preserve"> </w:t>
      </w:r>
      <w:proofErr w:type="spellStart"/>
      <w:r w:rsidRPr="00301B40">
        <w:rPr>
          <w:sz w:val="18"/>
          <w:szCs w:val="18"/>
        </w:rPr>
        <w:t>Fund</w:t>
      </w:r>
      <w:proofErr w:type="spellEnd"/>
      <w:r w:rsidRPr="00301B40">
        <w:rPr>
          <w:sz w:val="18"/>
          <w:szCs w:val="18"/>
        </w:rPr>
        <w:t xml:space="preserve">, </w:t>
      </w:r>
      <w:proofErr w:type="spellStart"/>
      <w:r w:rsidRPr="00301B40">
        <w:rPr>
          <w:sz w:val="18"/>
          <w:szCs w:val="18"/>
        </w:rPr>
        <w:t>the</w:t>
      </w:r>
      <w:proofErr w:type="spellEnd"/>
      <w:r w:rsidRPr="00301B40">
        <w:rPr>
          <w:sz w:val="18"/>
          <w:szCs w:val="18"/>
        </w:rPr>
        <w:t xml:space="preserve"> </w:t>
      </w:r>
      <w:proofErr w:type="spellStart"/>
      <w:r w:rsidRPr="00301B40">
        <w:rPr>
          <w:sz w:val="18"/>
          <w:szCs w:val="18"/>
        </w:rPr>
        <w:t>Cohesion</w:t>
      </w:r>
      <w:proofErr w:type="spellEnd"/>
      <w:r w:rsidRPr="00301B40">
        <w:rPr>
          <w:sz w:val="18"/>
          <w:szCs w:val="18"/>
        </w:rPr>
        <w:t xml:space="preserve"> </w:t>
      </w:r>
      <w:proofErr w:type="spellStart"/>
      <w:r w:rsidRPr="00301B40">
        <w:rPr>
          <w:sz w:val="18"/>
          <w:szCs w:val="18"/>
        </w:rPr>
        <w:t>Fund</w:t>
      </w:r>
      <w:proofErr w:type="spellEnd"/>
      <w:r w:rsidRPr="00301B40">
        <w:rPr>
          <w:sz w:val="18"/>
          <w:szCs w:val="18"/>
        </w:rPr>
        <w:t xml:space="preserve"> </w:t>
      </w:r>
      <w:proofErr w:type="spellStart"/>
      <w:r w:rsidRPr="00301B40">
        <w:rPr>
          <w:sz w:val="18"/>
          <w:szCs w:val="18"/>
        </w:rPr>
        <w:t>and</w:t>
      </w:r>
      <w:proofErr w:type="spellEnd"/>
      <w:r w:rsidRPr="00301B40">
        <w:rPr>
          <w:sz w:val="18"/>
          <w:szCs w:val="18"/>
        </w:rPr>
        <w:t xml:space="preserve"> </w:t>
      </w:r>
      <w:proofErr w:type="spellStart"/>
      <w:r w:rsidRPr="00301B40">
        <w:rPr>
          <w:sz w:val="18"/>
          <w:szCs w:val="18"/>
        </w:rPr>
        <w:t>the</w:t>
      </w:r>
      <w:proofErr w:type="spellEnd"/>
      <w:r w:rsidRPr="00301B40">
        <w:rPr>
          <w:sz w:val="18"/>
          <w:szCs w:val="18"/>
        </w:rPr>
        <w:t xml:space="preserve"> </w:t>
      </w:r>
      <w:proofErr w:type="spellStart"/>
      <w:r w:rsidRPr="00301B40">
        <w:rPr>
          <w:sz w:val="18"/>
          <w:szCs w:val="18"/>
        </w:rPr>
        <w:t>European</w:t>
      </w:r>
      <w:proofErr w:type="spellEnd"/>
      <w:r w:rsidRPr="00301B40">
        <w:rPr>
          <w:sz w:val="18"/>
          <w:szCs w:val="18"/>
        </w:rPr>
        <w:t xml:space="preserve"> </w:t>
      </w:r>
      <w:proofErr w:type="spellStart"/>
      <w:r w:rsidRPr="00301B40">
        <w:rPr>
          <w:sz w:val="18"/>
          <w:szCs w:val="18"/>
        </w:rPr>
        <w:t>Maritime</w:t>
      </w:r>
      <w:proofErr w:type="spellEnd"/>
      <w:r w:rsidRPr="00301B40">
        <w:rPr>
          <w:sz w:val="18"/>
          <w:szCs w:val="18"/>
        </w:rPr>
        <w:t xml:space="preserve"> </w:t>
      </w:r>
      <w:proofErr w:type="spellStart"/>
      <w:r w:rsidRPr="00301B40">
        <w:rPr>
          <w:sz w:val="18"/>
          <w:szCs w:val="18"/>
        </w:rPr>
        <w:t>and</w:t>
      </w:r>
      <w:proofErr w:type="spellEnd"/>
      <w:r w:rsidRPr="00301B40">
        <w:rPr>
          <w:sz w:val="18"/>
          <w:szCs w:val="18"/>
        </w:rPr>
        <w:t xml:space="preserve"> </w:t>
      </w:r>
      <w:proofErr w:type="spellStart"/>
      <w:r w:rsidRPr="00301B40">
        <w:rPr>
          <w:sz w:val="18"/>
          <w:szCs w:val="18"/>
        </w:rPr>
        <w:t>Fisheries</w:t>
      </w:r>
      <w:proofErr w:type="spellEnd"/>
      <w:r w:rsidRPr="00301B40">
        <w:rPr>
          <w:sz w:val="18"/>
          <w:szCs w:val="18"/>
        </w:rPr>
        <w:t xml:space="preserve"> </w:t>
      </w:r>
      <w:proofErr w:type="spellStart"/>
      <w:r w:rsidRPr="00301B40">
        <w:rPr>
          <w:sz w:val="18"/>
          <w:szCs w:val="18"/>
        </w:rPr>
        <w:t>Fund</w:t>
      </w:r>
      <w:proofErr w:type="spellEnd"/>
      <w:r w:rsidRPr="00301B40">
        <w:rPr>
          <w:sz w:val="18"/>
          <w:szCs w:val="18"/>
        </w:rPr>
        <w:t xml:space="preserve"> </w:t>
      </w:r>
      <w:proofErr w:type="spellStart"/>
      <w:r w:rsidRPr="00301B40">
        <w:rPr>
          <w:sz w:val="18"/>
          <w:szCs w:val="18"/>
        </w:rPr>
        <w:t>and</w:t>
      </w:r>
      <w:proofErr w:type="spellEnd"/>
      <w:r w:rsidRPr="00301B40">
        <w:rPr>
          <w:sz w:val="18"/>
          <w:szCs w:val="18"/>
        </w:rPr>
        <w:t xml:space="preserve"> </w:t>
      </w:r>
      <w:proofErr w:type="spellStart"/>
      <w:r w:rsidRPr="00301B40">
        <w:rPr>
          <w:sz w:val="18"/>
          <w:szCs w:val="18"/>
        </w:rPr>
        <w:t>repealing</w:t>
      </w:r>
      <w:proofErr w:type="spellEnd"/>
      <w:r w:rsidRPr="00301B40">
        <w:rPr>
          <w:sz w:val="18"/>
          <w:szCs w:val="18"/>
        </w:rPr>
        <w:t xml:space="preserve"> </w:t>
      </w:r>
      <w:proofErr w:type="spellStart"/>
      <w:r w:rsidRPr="00301B40">
        <w:rPr>
          <w:sz w:val="18"/>
          <w:szCs w:val="18"/>
        </w:rPr>
        <w:t>Council</w:t>
      </w:r>
      <w:proofErr w:type="spellEnd"/>
      <w:r w:rsidRPr="00301B40">
        <w:rPr>
          <w:sz w:val="18"/>
          <w:szCs w:val="18"/>
        </w:rPr>
        <w:t xml:space="preserve"> </w:t>
      </w:r>
      <w:proofErr w:type="spellStart"/>
      <w:r w:rsidRPr="00301B40">
        <w:rPr>
          <w:sz w:val="18"/>
          <w:szCs w:val="18"/>
        </w:rPr>
        <w:t>Regulation</w:t>
      </w:r>
      <w:proofErr w:type="spellEnd"/>
      <w:r w:rsidRPr="00301B40">
        <w:rPr>
          <w:sz w:val="18"/>
          <w:szCs w:val="18"/>
        </w:rPr>
        <w:t xml:space="preserve"> (EC) No 1083/2006.</w:t>
      </w:r>
    </w:p>
  </w:footnote>
  <w:footnote w:id="9">
    <w:p w14:paraId="62108BC3" w14:textId="1FA5652E" w:rsidR="00066407" w:rsidRDefault="00066407" w:rsidP="00440F15">
      <w:pPr>
        <w:ind w:left="363"/>
        <w:jc w:val="both"/>
        <w:rPr>
          <w:sz w:val="18"/>
          <w:szCs w:val="18"/>
        </w:rPr>
      </w:pPr>
      <w:r w:rsidRPr="00F01ABC">
        <w:rPr>
          <w:rStyle w:val="FootnoteReference"/>
          <w:rFonts w:asciiTheme="majorHAnsi" w:hAnsiTheme="majorHAnsi"/>
          <w:sz w:val="20"/>
          <w:szCs w:val="20"/>
        </w:rPr>
        <w:footnoteRef/>
      </w:r>
      <w:r w:rsidRPr="00F01ABC">
        <w:rPr>
          <w:rFonts w:asciiTheme="majorHAnsi" w:hAnsiTheme="majorHAnsi"/>
          <w:sz w:val="18"/>
          <w:szCs w:val="18"/>
        </w:rPr>
        <w:t xml:space="preserve"> </w:t>
      </w:r>
      <w:r>
        <w:rPr>
          <w:rFonts w:asciiTheme="majorHAnsi" w:hAnsiTheme="majorHAnsi"/>
          <w:sz w:val="18"/>
          <w:szCs w:val="18"/>
        </w:rPr>
        <w:t xml:space="preserve">Strategijos „Europa 2020“ skurdo ir socialinės atskirties arba jų rizikos rodiklis rodo bendrą skaičių (proc.) žmonių, kurie: a) gyvena žemiau skurdo rizikos ribos; b) patiria sunkų materialinį nepriteklių arba c) gyvena labai mažo darbo intensyvumo namų ūkiuose.  Net jei asmuo atitinka kelis iš šių kriterijų, jis yra skaičiuojamas tik vieną </w:t>
      </w:r>
      <w:r w:rsidRPr="00561E69">
        <w:rPr>
          <w:rFonts w:asciiTheme="majorHAnsi" w:hAnsiTheme="majorHAnsi"/>
          <w:sz w:val="18"/>
          <w:szCs w:val="18"/>
        </w:rPr>
        <w:t xml:space="preserve">kartą. </w:t>
      </w:r>
      <w:r w:rsidRPr="00561E69">
        <w:rPr>
          <w:rFonts w:asciiTheme="majorHAnsi" w:hAnsiTheme="majorHAnsi"/>
          <w:bCs/>
          <w:sz w:val="18"/>
          <w:szCs w:val="18"/>
        </w:rPr>
        <w:t xml:space="preserve">Skurdo rizikos riba </w:t>
      </w:r>
      <w:r w:rsidRPr="00561E69">
        <w:rPr>
          <w:rFonts w:asciiTheme="majorHAnsi" w:hAnsiTheme="majorHAnsi"/>
          <w:sz w:val="18"/>
          <w:szCs w:val="18"/>
        </w:rPr>
        <w:t>yra sąlyginis pajamų dydis (60 procentų ekvivalentinių piniginių disponuojamųjų pajamų medianos)</w:t>
      </w:r>
      <w:r>
        <w:rPr>
          <w:rFonts w:asciiTheme="majorHAnsi" w:hAnsiTheme="majorHAnsi"/>
          <w:sz w:val="18"/>
          <w:szCs w:val="18"/>
        </w:rPr>
        <w:t>,</w:t>
      </w:r>
      <w:r w:rsidRPr="00561E69">
        <w:rPr>
          <w:rFonts w:asciiTheme="majorHAnsi" w:hAnsiTheme="majorHAnsi"/>
          <w:sz w:val="18"/>
          <w:szCs w:val="18"/>
        </w:rPr>
        <w:t xml:space="preserve"> už kurį mažesnes disponuojamąsias pajamas</w:t>
      </w:r>
      <w:r>
        <w:rPr>
          <w:rFonts w:asciiTheme="majorHAnsi" w:hAnsiTheme="majorHAnsi"/>
          <w:sz w:val="18"/>
          <w:szCs w:val="18"/>
        </w:rPr>
        <w:t xml:space="preserve"> (po socialinių išmokų)</w:t>
      </w:r>
      <w:r w:rsidRPr="00561E69">
        <w:rPr>
          <w:rFonts w:asciiTheme="majorHAnsi" w:hAnsiTheme="majorHAnsi"/>
          <w:sz w:val="18"/>
          <w:szCs w:val="18"/>
        </w:rPr>
        <w:t xml:space="preserve"> gaunantys namų ūkiai priskiriami prie skurstančiųjų</w:t>
      </w:r>
      <w:r w:rsidRPr="00561E69">
        <w:rPr>
          <w:rFonts w:asciiTheme="majorHAnsi" w:hAnsiTheme="majorHAnsi" w:cs="Tahoma"/>
          <w:sz w:val="18"/>
          <w:szCs w:val="18"/>
        </w:rPr>
        <w:t xml:space="preserve">. </w:t>
      </w:r>
      <w:r>
        <w:rPr>
          <w:rFonts w:asciiTheme="majorHAnsi" w:hAnsiTheme="majorHAnsi" w:cs="Tahoma"/>
          <w:sz w:val="18"/>
          <w:szCs w:val="18"/>
        </w:rPr>
        <w:t>Materialinio nepritekliaus rodiklis apima dėl lėšų stokos namų ūkio patiriamus ekonominius sunkumus ir ilgalaikio naudojimo daiktų neturėjimą. Didelį materialinį nepriteklių patiriančių asmenų</w:t>
      </w:r>
      <w:r w:rsidRPr="00561E69">
        <w:rPr>
          <w:rFonts w:asciiTheme="majorHAnsi" w:eastAsiaTheme="minorHAnsi" w:hAnsiTheme="majorHAnsi"/>
          <w:sz w:val="18"/>
          <w:szCs w:val="18"/>
        </w:rPr>
        <w:t xml:space="preserve"> </w:t>
      </w:r>
      <w:r>
        <w:rPr>
          <w:rFonts w:asciiTheme="majorHAnsi" w:eastAsiaTheme="minorHAnsi" w:hAnsiTheme="majorHAnsi"/>
          <w:sz w:val="18"/>
          <w:szCs w:val="18"/>
        </w:rPr>
        <w:t xml:space="preserve">gyvenimo sąlygos dėl lėšų stokos pasižymi 4 iš 9 nepritekliaus požymiais: </w:t>
      </w:r>
      <w:r w:rsidRPr="00393F11">
        <w:rPr>
          <w:sz w:val="18"/>
          <w:szCs w:val="18"/>
        </w:rPr>
        <w:t>1) namų ūkis negali laiku sumokėti būsto nuomos, komunalinių mokesčių, būsto ar kitų paskolų, kredito įmokų; 2) namų ūkis neturi galimybės praleisti bent savaitės atostogų ne namuose; 3) namų ūkis negali sau leisti pakankamai šildyti būsto; 4) namų ūkis negali sau leisti bent kas antrą dieną valgyti mėsos, žuvies ar analogiško vegetariško maisto; 5) namų ūkis negalėtų apmokėti nenumatytų ankstesnių metų vidutinės skurdo rizikos ribos dydžio išlaidų iš savo lėšų</w:t>
      </w:r>
      <w:r>
        <w:rPr>
          <w:sz w:val="18"/>
          <w:szCs w:val="18"/>
        </w:rPr>
        <w:t>;</w:t>
      </w:r>
      <w:r w:rsidRPr="00393F11">
        <w:rPr>
          <w:sz w:val="18"/>
          <w:szCs w:val="18"/>
        </w:rPr>
        <w:t xml:space="preserve"> </w:t>
      </w:r>
      <w:r>
        <w:rPr>
          <w:sz w:val="18"/>
          <w:szCs w:val="18"/>
        </w:rPr>
        <w:t>6</w:t>
      </w:r>
      <w:r w:rsidRPr="00393F11">
        <w:rPr>
          <w:sz w:val="18"/>
          <w:szCs w:val="18"/>
        </w:rPr>
        <w:t xml:space="preserve">) </w:t>
      </w:r>
      <w:r>
        <w:rPr>
          <w:sz w:val="18"/>
          <w:szCs w:val="18"/>
        </w:rPr>
        <w:t>neturi telefono</w:t>
      </w:r>
      <w:r w:rsidRPr="00393F11">
        <w:rPr>
          <w:sz w:val="18"/>
          <w:szCs w:val="18"/>
        </w:rPr>
        <w:t xml:space="preserve">, įskaitant mobilųjį; 2) </w:t>
      </w:r>
      <w:r>
        <w:rPr>
          <w:sz w:val="18"/>
          <w:szCs w:val="18"/>
        </w:rPr>
        <w:t xml:space="preserve">neturi </w:t>
      </w:r>
      <w:r w:rsidRPr="00393F11">
        <w:rPr>
          <w:sz w:val="18"/>
          <w:szCs w:val="18"/>
        </w:rPr>
        <w:t>spalvot</w:t>
      </w:r>
      <w:r>
        <w:rPr>
          <w:sz w:val="18"/>
          <w:szCs w:val="18"/>
        </w:rPr>
        <w:t xml:space="preserve">ojo </w:t>
      </w:r>
      <w:r w:rsidRPr="00393F11">
        <w:rPr>
          <w:sz w:val="18"/>
          <w:szCs w:val="18"/>
        </w:rPr>
        <w:t>televizori</w:t>
      </w:r>
      <w:r>
        <w:rPr>
          <w:sz w:val="18"/>
          <w:szCs w:val="18"/>
        </w:rPr>
        <w:t>a</w:t>
      </w:r>
      <w:r w:rsidRPr="00393F11">
        <w:rPr>
          <w:sz w:val="18"/>
          <w:szCs w:val="18"/>
        </w:rPr>
        <w:t xml:space="preserve">us; 3) </w:t>
      </w:r>
      <w:r>
        <w:rPr>
          <w:sz w:val="18"/>
          <w:szCs w:val="18"/>
        </w:rPr>
        <w:t xml:space="preserve">neturi </w:t>
      </w:r>
      <w:proofErr w:type="spellStart"/>
      <w:r w:rsidRPr="00393F11">
        <w:rPr>
          <w:sz w:val="18"/>
          <w:szCs w:val="18"/>
        </w:rPr>
        <w:t>skalbyklė</w:t>
      </w:r>
      <w:r>
        <w:rPr>
          <w:sz w:val="18"/>
          <w:szCs w:val="18"/>
        </w:rPr>
        <w:t>s</w:t>
      </w:r>
      <w:proofErr w:type="spellEnd"/>
      <w:r w:rsidRPr="00393F11">
        <w:rPr>
          <w:sz w:val="18"/>
          <w:szCs w:val="18"/>
        </w:rPr>
        <w:t xml:space="preserve">; 4) </w:t>
      </w:r>
      <w:r>
        <w:rPr>
          <w:sz w:val="18"/>
          <w:szCs w:val="18"/>
        </w:rPr>
        <w:t xml:space="preserve">neturi </w:t>
      </w:r>
      <w:r w:rsidRPr="00393F11">
        <w:rPr>
          <w:sz w:val="18"/>
          <w:szCs w:val="18"/>
        </w:rPr>
        <w:t>a</w:t>
      </w:r>
      <w:r>
        <w:rPr>
          <w:sz w:val="18"/>
          <w:szCs w:val="18"/>
        </w:rPr>
        <w:t>utomobilio</w:t>
      </w:r>
      <w:r w:rsidRPr="00393F11">
        <w:rPr>
          <w:sz w:val="18"/>
          <w:szCs w:val="18"/>
        </w:rPr>
        <w:t>.</w:t>
      </w:r>
      <w:r>
        <w:rPr>
          <w:sz w:val="18"/>
          <w:szCs w:val="18"/>
        </w:rPr>
        <w:t xml:space="preserve"> Asmenys, gyvenantys labai mažo darbo intensyvumo namų ūkiuose, yra visi asmenys iki 60 m., gyvenantys namų ūkiuose, kuriuose visų darbingo amžiaus nesimokančių asmenų dirbtų valandų suma neviršija 20 proc. jų galimo dirbti viso darbo laiko. </w:t>
      </w:r>
    </w:p>
    <w:p w14:paraId="676097EA" w14:textId="2FCEA696" w:rsidR="00066407" w:rsidRPr="00767E0C" w:rsidRDefault="006D6B40" w:rsidP="00440F15">
      <w:pPr>
        <w:ind w:left="363"/>
        <w:jc w:val="both"/>
        <w:rPr>
          <w:sz w:val="18"/>
          <w:szCs w:val="18"/>
        </w:rPr>
      </w:pPr>
      <w:hyperlink r:id="rId1" w:history="1">
        <w:r w:rsidR="00066407" w:rsidRPr="00A9571E">
          <w:rPr>
            <w:rStyle w:val="Hyperlink"/>
            <w:rFonts w:asciiTheme="majorHAnsi" w:hAnsiTheme="majorHAnsi" w:cs="Arial"/>
            <w:sz w:val="18"/>
            <w:szCs w:val="18"/>
            <w:lang w:val="en"/>
          </w:rPr>
          <w:t>http://epp.eurostat.ec.europa.eu/tgm/refreshTableAction.do;jsessionid=9ea7d07d30ebb87d4cd83d184437b435dadf0aa742e8.e34OaN8PchaTby0Lc3aNchuNa3mSe0?tab=table&amp;plugin=1&amp;pcode=t2020_50&amp;language=en</w:t>
        </w:r>
      </w:hyperlink>
      <w:r w:rsidR="00066407" w:rsidRPr="00A9571E">
        <w:rPr>
          <w:rFonts w:asciiTheme="majorHAnsi" w:hAnsiTheme="majorHAnsi" w:cs="Arial"/>
          <w:color w:val="000000"/>
          <w:sz w:val="18"/>
          <w:szCs w:val="18"/>
          <w:lang w:val="en"/>
        </w:rPr>
        <w:t xml:space="preserve"> </w:t>
      </w:r>
    </w:p>
  </w:footnote>
  <w:footnote w:id="10">
    <w:p w14:paraId="2E8DDE7A" w14:textId="287ADA87" w:rsidR="00066407" w:rsidRPr="00BC0679" w:rsidRDefault="00066407" w:rsidP="00440F15">
      <w:pPr>
        <w:pStyle w:val="FootnoteText"/>
        <w:ind w:left="363"/>
        <w:rPr>
          <w:sz w:val="18"/>
          <w:szCs w:val="18"/>
          <w:lang w:val="en-US"/>
        </w:rPr>
      </w:pPr>
      <w:r w:rsidRPr="00BC0679">
        <w:rPr>
          <w:rStyle w:val="FootnoteReference"/>
        </w:rPr>
        <w:footnoteRef/>
      </w:r>
      <w:r w:rsidRPr="00BC0679">
        <w:t xml:space="preserve"> </w:t>
      </w:r>
      <w:r w:rsidRPr="00BC0679">
        <w:rPr>
          <w:sz w:val="18"/>
          <w:szCs w:val="18"/>
        </w:rPr>
        <w:t>Lietuvoje 2012 m. skurdo rizikos riba vienam asmeniui sudarė 749 Lt, o namų ūkiui, susidedančiam iš dviejų suaugusiųjų ir dviejų vaikų iki 14 metų</w:t>
      </w:r>
      <w:r>
        <w:rPr>
          <w:sz w:val="18"/>
          <w:szCs w:val="18"/>
        </w:rPr>
        <w:t>,</w:t>
      </w:r>
      <w:r w:rsidRPr="00BC0679">
        <w:rPr>
          <w:sz w:val="18"/>
          <w:szCs w:val="18"/>
        </w:rPr>
        <w:t xml:space="preserve"> – 1</w:t>
      </w:r>
      <w:r>
        <w:rPr>
          <w:sz w:val="18"/>
          <w:szCs w:val="18"/>
        </w:rPr>
        <w:t> </w:t>
      </w:r>
      <w:r w:rsidRPr="00BC0679">
        <w:rPr>
          <w:sz w:val="18"/>
          <w:szCs w:val="18"/>
        </w:rPr>
        <w:t>572 Lt.</w:t>
      </w:r>
    </w:p>
  </w:footnote>
  <w:footnote w:id="11">
    <w:p w14:paraId="6B79D856" w14:textId="25D98DCE" w:rsidR="00066407" w:rsidRDefault="00066407" w:rsidP="00440F15">
      <w:pPr>
        <w:pStyle w:val="FootnoteText"/>
        <w:ind w:left="363"/>
      </w:pPr>
      <w:r>
        <w:rPr>
          <w:rStyle w:val="FootnoteReference"/>
        </w:rPr>
        <w:footnoteRef/>
      </w:r>
      <w:r>
        <w:t xml:space="preserve"> </w:t>
      </w:r>
      <w:proofErr w:type="spellStart"/>
      <w:r w:rsidRPr="005D34E8">
        <w:rPr>
          <w:i/>
        </w:rPr>
        <w:t>Eurostat</w:t>
      </w:r>
      <w:proofErr w:type="spellEnd"/>
      <w:r>
        <w:t xml:space="preserve"> duomenys. </w:t>
      </w:r>
      <w:hyperlink r:id="rId2" w:history="1">
        <w:r w:rsidRPr="00585ECE">
          <w:rPr>
            <w:rStyle w:val="Hyperlink"/>
          </w:rPr>
          <w:t>http://appsso.eurostat.ec.europa.eu/nui/show.do?dataset=ilc_mddd21&amp;lang=en</w:t>
        </w:r>
      </w:hyperlink>
      <w:r>
        <w:t xml:space="preserve"> </w:t>
      </w:r>
    </w:p>
  </w:footnote>
  <w:footnote w:id="12">
    <w:p w14:paraId="3321489E" w14:textId="4D3A0C3C" w:rsidR="00066407" w:rsidRDefault="00066407" w:rsidP="00440F15">
      <w:pPr>
        <w:pStyle w:val="FootnoteText"/>
        <w:ind w:left="363"/>
      </w:pPr>
      <w:r>
        <w:rPr>
          <w:rStyle w:val="FootnoteReference"/>
        </w:rPr>
        <w:footnoteRef/>
      </w:r>
      <w:r>
        <w:t xml:space="preserve"> </w:t>
      </w:r>
      <w:proofErr w:type="spellStart"/>
      <w:r w:rsidRPr="005D34E8">
        <w:rPr>
          <w:i/>
        </w:rPr>
        <w:t>Eurostat</w:t>
      </w:r>
      <w:proofErr w:type="spellEnd"/>
      <w:r>
        <w:t xml:space="preserve"> duomenys, </w:t>
      </w:r>
      <w:hyperlink r:id="rId3" w:history="1">
        <w:r w:rsidRPr="00883C80">
          <w:rPr>
            <w:rStyle w:val="Hyperlink"/>
          </w:rPr>
          <w:t>http://appsso.eurostat.ec.europa.eu/nui/submitViewTableAction.do</w:t>
        </w:r>
      </w:hyperlink>
      <w:r>
        <w:t xml:space="preserve"> </w:t>
      </w:r>
    </w:p>
  </w:footnote>
  <w:footnote w:id="13">
    <w:p w14:paraId="5F568598" w14:textId="77777777" w:rsidR="00066407" w:rsidRPr="002A1A2F" w:rsidRDefault="00066407" w:rsidP="00440F15">
      <w:pPr>
        <w:pStyle w:val="FootnoteText"/>
        <w:ind w:left="363"/>
        <w:rPr>
          <w:lang w:val="en-US"/>
        </w:rPr>
      </w:pPr>
      <w:r w:rsidRPr="00BC0679">
        <w:rPr>
          <w:rStyle w:val="FootnoteReference"/>
        </w:rPr>
        <w:footnoteRef/>
      </w:r>
      <w:r w:rsidRPr="00BC0679">
        <w:t xml:space="preserve"> </w:t>
      </w:r>
      <w:r w:rsidRPr="00BC0679">
        <w:rPr>
          <w:sz w:val="18"/>
          <w:szCs w:val="18"/>
        </w:rPr>
        <w:t>Lietuva: 2013 m. Nacionalinė reformų darbotvarkė</w:t>
      </w:r>
      <w:r w:rsidRPr="00BC0679">
        <w:rPr>
          <w:sz w:val="18"/>
          <w:szCs w:val="18"/>
          <w:lang w:val="en-US"/>
        </w:rPr>
        <w:t xml:space="preserve">. </w:t>
      </w:r>
      <w:proofErr w:type="gramStart"/>
      <w:r w:rsidRPr="00BC0679">
        <w:rPr>
          <w:sz w:val="18"/>
          <w:szCs w:val="18"/>
          <w:lang w:val="en-US"/>
        </w:rPr>
        <w:t>Vilnius, 2013.</w:t>
      </w:r>
      <w:proofErr w:type="gramEnd"/>
    </w:p>
  </w:footnote>
  <w:footnote w:id="14">
    <w:p w14:paraId="4D7E6BD1" w14:textId="29338B75" w:rsidR="00066407" w:rsidRDefault="00066407" w:rsidP="00440F15">
      <w:pPr>
        <w:pStyle w:val="FootnoteText"/>
        <w:ind w:left="363"/>
        <w:jc w:val="both"/>
      </w:pPr>
      <w:r>
        <w:rPr>
          <w:rStyle w:val="FootnoteReference"/>
        </w:rPr>
        <w:footnoteRef/>
      </w:r>
      <w:r>
        <w:t xml:space="preserve"> Europos Komisija, Tarybos rekomendacija dėl 2014 m. Lietuvos nacionalinės reformų programos su Tarybos nuomone dėl 2014 m. Lietuvos konvergencijos programos. Briuselis 2014 m. </w:t>
      </w:r>
      <w:hyperlink r:id="rId4" w:history="1">
        <w:r w:rsidRPr="000953FF">
          <w:rPr>
            <w:rStyle w:val="Hyperlink"/>
          </w:rPr>
          <w:t>http://ec.europa.eu/europe2020/pdf/csr2014/csr2014_lithuania_lt.pdf</w:t>
        </w:r>
      </w:hyperlink>
      <w:r>
        <w:t xml:space="preserve"> </w:t>
      </w:r>
    </w:p>
  </w:footnote>
  <w:footnote w:id="15">
    <w:p w14:paraId="0CEE03EE" w14:textId="79EDC327" w:rsidR="00066407" w:rsidRDefault="00066407" w:rsidP="00440F15">
      <w:pPr>
        <w:pStyle w:val="FootnoteText"/>
        <w:ind w:left="363"/>
      </w:pPr>
      <w:r>
        <w:rPr>
          <w:rStyle w:val="FootnoteReference"/>
        </w:rPr>
        <w:footnoteRef/>
      </w:r>
      <w:r>
        <w:t xml:space="preserve"> Interviu su </w:t>
      </w:r>
      <w:proofErr w:type="spellStart"/>
      <w:r>
        <w:t>VšĮ</w:t>
      </w:r>
      <w:proofErr w:type="spellEnd"/>
      <w:r>
        <w:t xml:space="preserve"> „Maisto bankas“ atstove, 2014 m. liepos 8 d.</w:t>
      </w:r>
    </w:p>
  </w:footnote>
  <w:footnote w:id="16">
    <w:p w14:paraId="1468B197" w14:textId="2671EFA3" w:rsidR="00066407" w:rsidRDefault="00066407" w:rsidP="00440F15">
      <w:pPr>
        <w:pStyle w:val="FootnoteText"/>
        <w:ind w:left="363"/>
      </w:pPr>
      <w:r w:rsidRPr="00603F66">
        <w:rPr>
          <w:rStyle w:val="FootnoteReference"/>
        </w:rPr>
        <w:footnoteRef/>
      </w:r>
      <w:r w:rsidRPr="00603F66">
        <w:t xml:space="preserve"> Interviu su suinteresuotosiomis pusėmis: Telšių rajono savivaldybės administracijos Socialinės paramos ir rūpybos skyriaus atstove ir Nacionalinio</w:t>
      </w:r>
      <w:r>
        <w:t xml:space="preserve"> skurdo mažinimo organizacijų tinklo atstove, 2014 m. liepos 9 d.</w:t>
      </w:r>
    </w:p>
  </w:footnote>
  <w:footnote w:id="17">
    <w:p w14:paraId="0D884F02" w14:textId="3164B178" w:rsidR="00066407" w:rsidRDefault="00066407" w:rsidP="00440F15">
      <w:pPr>
        <w:pStyle w:val="FootnoteText"/>
        <w:ind w:left="363"/>
      </w:pPr>
      <w:r>
        <w:rPr>
          <w:rStyle w:val="FootnoteReference"/>
        </w:rPr>
        <w:footnoteRef/>
      </w:r>
      <w:r>
        <w:t xml:space="preserve"> Interviu su </w:t>
      </w:r>
      <w:proofErr w:type="spellStart"/>
      <w:r>
        <w:t>VšĮ</w:t>
      </w:r>
      <w:proofErr w:type="spellEnd"/>
      <w:r>
        <w:t xml:space="preserve"> „Maisto bankas“ atstove, 2014 m. liepos 8 d.</w:t>
      </w:r>
    </w:p>
  </w:footnote>
  <w:footnote w:id="18">
    <w:p w14:paraId="6681F898" w14:textId="292228A0" w:rsidR="00066407" w:rsidRDefault="00066407" w:rsidP="00440F15">
      <w:pPr>
        <w:pStyle w:val="FootnoteText"/>
        <w:ind w:left="363"/>
        <w:jc w:val="both"/>
      </w:pPr>
      <w:r>
        <w:rPr>
          <w:rStyle w:val="FootnoteReference"/>
        </w:rPr>
        <w:footnoteRef/>
      </w:r>
      <w:r>
        <w:t xml:space="preserve"> 2014 m. sausio 31 d. LR socialinės apsaugos ir darbo ministro įsakymas Nr. A1-60 „Dėl 2014–2020 metų iš Europos pagalbos labiausiai skurstantiems asmenims fondo lėšų planuojamų bendrai finansuoti valstybės projektų atrankos laikinosios tvarkos aprašo patvirtinimo“, Teisės aktų registras, 2014-02-03, Nr. 2014-00863.</w:t>
      </w:r>
    </w:p>
  </w:footnote>
  <w:footnote w:id="19">
    <w:p w14:paraId="2D947A38" w14:textId="7BB7916C" w:rsidR="00066407" w:rsidRPr="006A3B36" w:rsidRDefault="00066407" w:rsidP="00440F15">
      <w:pPr>
        <w:pStyle w:val="FootnoteText"/>
        <w:ind w:left="363"/>
        <w:jc w:val="both"/>
        <w:rPr>
          <w:lang w:val="en-US"/>
        </w:rPr>
      </w:pPr>
      <w:r>
        <w:rPr>
          <w:rStyle w:val="FootnoteReference"/>
        </w:rPr>
        <w:footnoteRef/>
      </w:r>
      <w:r>
        <w:t xml:space="preserve"> Lietuvos </w:t>
      </w:r>
      <w:r>
        <w:rPr>
          <w:lang w:val="en-US"/>
        </w:rPr>
        <w:t xml:space="preserve">2014–2020 m. </w:t>
      </w:r>
      <w:proofErr w:type="gramStart"/>
      <w:r>
        <w:rPr>
          <w:lang w:val="en-US"/>
        </w:rPr>
        <w:t xml:space="preserve">ES </w:t>
      </w:r>
      <w:proofErr w:type="spellStart"/>
      <w:r>
        <w:rPr>
          <w:lang w:val="en-US"/>
        </w:rPr>
        <w:t>strukt</w:t>
      </w:r>
      <w:r>
        <w:t>ūrinių</w:t>
      </w:r>
      <w:proofErr w:type="spellEnd"/>
      <w:r>
        <w:t xml:space="preserve"> fondų investicijų veiksmų programos projektas, </w:t>
      </w:r>
      <w:r>
        <w:rPr>
          <w:lang w:val="en-US"/>
        </w:rPr>
        <w:t xml:space="preserve">2014 m. </w:t>
      </w:r>
      <w:proofErr w:type="spellStart"/>
      <w:r>
        <w:rPr>
          <w:lang w:val="en-US"/>
        </w:rPr>
        <w:t>kovo</w:t>
      </w:r>
      <w:proofErr w:type="spellEnd"/>
      <w:r>
        <w:rPr>
          <w:lang w:val="en-US"/>
        </w:rPr>
        <w:t xml:space="preserve"> 5 d., </w:t>
      </w:r>
      <w:hyperlink r:id="rId5" w:anchor="VP" w:history="1">
        <w:r w:rsidRPr="004C4DC5">
          <w:rPr>
            <w:rStyle w:val="Hyperlink"/>
            <w:lang w:val="en-US"/>
          </w:rPr>
          <w:t>http://www.esparama.lt/strateginiai-dokumentai1#VP</w:t>
        </w:r>
      </w:hyperlink>
      <w:r>
        <w:rPr>
          <w:lang w:val="en-US"/>
        </w:rPr>
        <w:t xml:space="preserve"> .</w:t>
      </w:r>
      <w:proofErr w:type="gramEnd"/>
    </w:p>
  </w:footnote>
  <w:footnote w:id="20">
    <w:p w14:paraId="678FDC15" w14:textId="2F80ED79" w:rsidR="00066407" w:rsidRDefault="00066407" w:rsidP="00440F15">
      <w:pPr>
        <w:pStyle w:val="FootnoteText"/>
        <w:ind w:left="363"/>
      </w:pPr>
      <w:r>
        <w:rPr>
          <w:rStyle w:val="FootnoteReference"/>
        </w:rPr>
        <w:footnoteRef/>
      </w:r>
      <w:r>
        <w:t xml:space="preserve"> </w:t>
      </w:r>
      <w:r w:rsidRPr="00283959">
        <w:rPr>
          <w:rFonts w:eastAsia="Cambria" w:cs="Cambria"/>
          <w:sz w:val="18"/>
          <w:szCs w:val="18"/>
        </w:rPr>
        <w:t xml:space="preserve">Interviu su </w:t>
      </w:r>
      <w:r>
        <w:rPr>
          <w:rFonts w:eastAsia="Cambria" w:cs="Cambria"/>
          <w:sz w:val="18"/>
          <w:szCs w:val="18"/>
        </w:rPr>
        <w:t>VĮ Lietuvos ž</w:t>
      </w:r>
      <w:r w:rsidRPr="00283959">
        <w:rPr>
          <w:rFonts w:eastAsia="Cambria" w:cs="Cambria"/>
          <w:sz w:val="18"/>
          <w:szCs w:val="18"/>
        </w:rPr>
        <w:t xml:space="preserve">emės ūkio ir maisto produktų rinkos reguliavimo </w:t>
      </w:r>
      <w:r>
        <w:rPr>
          <w:rFonts w:eastAsia="Cambria" w:cs="Cambria"/>
          <w:sz w:val="18"/>
          <w:szCs w:val="18"/>
        </w:rPr>
        <w:t xml:space="preserve">agentūros  atstovais (2014 m. liepos 7 d.) ir </w:t>
      </w:r>
      <w:proofErr w:type="spellStart"/>
      <w:r>
        <w:rPr>
          <w:rFonts w:eastAsia="Cambria" w:cs="Cambria"/>
          <w:sz w:val="18"/>
          <w:szCs w:val="18"/>
        </w:rPr>
        <w:t>VšĮ</w:t>
      </w:r>
      <w:proofErr w:type="spellEnd"/>
      <w:r>
        <w:rPr>
          <w:rFonts w:eastAsia="Cambria" w:cs="Cambria"/>
          <w:sz w:val="18"/>
          <w:szCs w:val="18"/>
        </w:rPr>
        <w:t xml:space="preserve"> „Maisto bankas“ atstove (2014 m. liepos 8 d.)</w:t>
      </w:r>
    </w:p>
  </w:footnote>
  <w:footnote w:id="21">
    <w:p w14:paraId="40381D58" w14:textId="77B329E7" w:rsidR="00066407" w:rsidRDefault="00066407" w:rsidP="006C73CD">
      <w:pPr>
        <w:pStyle w:val="FootnoteText"/>
        <w:ind w:left="363"/>
      </w:pPr>
      <w:r>
        <w:rPr>
          <w:rStyle w:val="FootnoteReference"/>
        </w:rPr>
        <w:footnoteRef/>
      </w:r>
      <w:r>
        <w:t xml:space="preserve"> </w:t>
      </w:r>
      <w:r w:rsidRPr="00283959">
        <w:rPr>
          <w:rFonts w:eastAsia="Cambria" w:cs="Cambria"/>
          <w:sz w:val="18"/>
          <w:szCs w:val="18"/>
        </w:rPr>
        <w:t xml:space="preserve">Interviu su </w:t>
      </w:r>
      <w:r>
        <w:rPr>
          <w:rFonts w:eastAsia="Cambria" w:cs="Cambria"/>
          <w:sz w:val="18"/>
          <w:szCs w:val="18"/>
        </w:rPr>
        <w:t>VĮ Lietuvos ž</w:t>
      </w:r>
      <w:r w:rsidRPr="00283959">
        <w:rPr>
          <w:rFonts w:eastAsia="Cambria" w:cs="Cambria"/>
          <w:sz w:val="18"/>
          <w:szCs w:val="18"/>
        </w:rPr>
        <w:t xml:space="preserve">emės ūkio ir maisto produktų rinkos reguliavimo </w:t>
      </w:r>
      <w:r>
        <w:rPr>
          <w:rFonts w:eastAsia="Cambria" w:cs="Cambria"/>
          <w:sz w:val="18"/>
          <w:szCs w:val="18"/>
        </w:rPr>
        <w:t>agentūros  atstovais (2014 m. liepos 7 d.)</w:t>
      </w:r>
    </w:p>
  </w:footnote>
  <w:footnote w:id="22">
    <w:p w14:paraId="143D1D55" w14:textId="66D795EE" w:rsidR="00066407" w:rsidRDefault="00066407" w:rsidP="00004D88">
      <w:pPr>
        <w:pStyle w:val="FootnoteText"/>
        <w:ind w:left="363"/>
      </w:pPr>
      <w:r>
        <w:rPr>
          <w:rStyle w:val="FootnoteReference"/>
        </w:rPr>
        <w:footnoteRef/>
      </w:r>
      <w:r>
        <w:t xml:space="preserve"> Interviu su Lietuvos Raudonojo Kryžiaus draugijos atstove (2014 m. liepos 4 d.) ir </w:t>
      </w:r>
      <w:r w:rsidRPr="00603F66">
        <w:t>Telšių rajono savivaldybės administracijos Socialinės paramos ir rūpybos skyriaus atstove</w:t>
      </w:r>
      <w:r>
        <w:t xml:space="preserve"> (2014 m. liepos 9 d.)</w:t>
      </w:r>
    </w:p>
  </w:footnote>
  <w:footnote w:id="23">
    <w:p w14:paraId="0BCFDC8A" w14:textId="4472E6CB" w:rsidR="00066407" w:rsidRDefault="00066407" w:rsidP="00D04C6E">
      <w:pPr>
        <w:pStyle w:val="FootnoteText"/>
        <w:ind w:left="363"/>
        <w:jc w:val="both"/>
      </w:pPr>
      <w:r>
        <w:rPr>
          <w:rStyle w:val="FootnoteReference"/>
        </w:rPr>
        <w:footnoteRef/>
      </w:r>
      <w:r>
        <w:t xml:space="preserve">  2014 m. kovo 31 d. LR socialinės apsaugos ir darbo ministro įsakymas Nr. A1-175 „Dėl 2014–2020 metų iš Europos pagalbos labiausiai skurstantiems asmenims fondo stebėsenos komiteto personalinės sudėties patvirtinimo“.</w:t>
      </w:r>
    </w:p>
  </w:footnote>
  <w:footnote w:id="24">
    <w:p w14:paraId="15E5FF43" w14:textId="139BC1D8" w:rsidR="00066407" w:rsidRDefault="00066407" w:rsidP="00DB3571">
      <w:pPr>
        <w:pStyle w:val="FootnoteText"/>
        <w:ind w:left="363"/>
        <w:jc w:val="both"/>
      </w:pPr>
      <w:r>
        <w:rPr>
          <w:rStyle w:val="FootnoteReference"/>
        </w:rPr>
        <w:footnoteRef/>
      </w:r>
      <w:r>
        <w:t xml:space="preserve"> Interviu su </w:t>
      </w:r>
      <w:r w:rsidRPr="00603F66">
        <w:t>Telšių rajono savivaldybės administracijos Socialinės paramos ir rūpybos skyriaus atstove</w:t>
      </w:r>
      <w:r>
        <w:t>, 2014 m. liepos 9 d.</w:t>
      </w:r>
    </w:p>
  </w:footnote>
  <w:footnote w:id="25">
    <w:p w14:paraId="14D454BA" w14:textId="16843F78" w:rsidR="00066407" w:rsidRPr="005D03B1" w:rsidRDefault="00066407" w:rsidP="00DB3571">
      <w:pPr>
        <w:pStyle w:val="FootnoteText"/>
        <w:ind w:left="363"/>
        <w:jc w:val="both"/>
      </w:pPr>
      <w:r>
        <w:rPr>
          <w:rStyle w:val="FootnoteReference"/>
        </w:rPr>
        <w:footnoteRef/>
      </w:r>
      <w:r>
        <w:t xml:space="preserve"> Kaip partnerių organizacijų veikiančių savivaldybių VP veiklų </w:t>
      </w:r>
      <w:r w:rsidRPr="005D03B1">
        <w:t>administravimo sąnaudos bus padengiamos taikant</w:t>
      </w:r>
      <w:r>
        <w:t xml:space="preserve"> </w:t>
      </w:r>
      <w:r w:rsidRPr="005D03B1">
        <w:t>fiksuoto dydžio sumas, kai finansavimas apskaičiuojamas kaip procentinė vienos ar kelių nurodytų sąnaudų kategorijų (pvz.</w:t>
      </w:r>
      <w:r>
        <w:t>,</w:t>
      </w:r>
      <w:r w:rsidRPr="005D03B1">
        <w:t xml:space="preserve"> savivaldybėje paskirstytos paramos) dalis.</w:t>
      </w:r>
    </w:p>
  </w:footnote>
  <w:footnote w:id="26">
    <w:p w14:paraId="0627C3B5" w14:textId="6EB9995B" w:rsidR="00066407" w:rsidRDefault="00066407" w:rsidP="00DB3571">
      <w:pPr>
        <w:pStyle w:val="FootnoteText"/>
        <w:ind w:left="363"/>
        <w:jc w:val="both"/>
      </w:pPr>
      <w:r>
        <w:rPr>
          <w:rStyle w:val="FootnoteReference"/>
        </w:rPr>
        <w:footnoteRef/>
      </w:r>
      <w:r>
        <w:t xml:space="preserve"> </w:t>
      </w:r>
      <w:r w:rsidRPr="00603F66">
        <w:t>Interviu su Nacionalinio</w:t>
      </w:r>
      <w:r>
        <w:t xml:space="preserve"> skurdo mažinimo organizacijų tinklo atstove, 2014 m. liepos 9 d.</w:t>
      </w:r>
    </w:p>
  </w:footnote>
  <w:footnote w:id="27">
    <w:p w14:paraId="667A5CA6" w14:textId="77777777" w:rsidR="00066407" w:rsidRDefault="00066407" w:rsidP="00DB3571">
      <w:pPr>
        <w:pStyle w:val="FootnoteText"/>
        <w:ind w:left="363"/>
        <w:jc w:val="both"/>
      </w:pPr>
      <w:r>
        <w:rPr>
          <w:rStyle w:val="FootnoteReference"/>
        </w:rPr>
        <w:footnoteRef/>
      </w:r>
      <w:r>
        <w:t xml:space="preserve"> </w:t>
      </w:r>
      <w:r w:rsidRPr="00283959">
        <w:rPr>
          <w:rFonts w:eastAsia="Cambria" w:cs="Cambria"/>
          <w:sz w:val="18"/>
          <w:szCs w:val="18"/>
        </w:rPr>
        <w:t xml:space="preserve">Interviu su </w:t>
      </w:r>
      <w:r>
        <w:rPr>
          <w:rFonts w:eastAsia="Cambria" w:cs="Cambria"/>
          <w:sz w:val="18"/>
          <w:szCs w:val="18"/>
        </w:rPr>
        <w:t>VĮ Lietuvos ž</w:t>
      </w:r>
      <w:r w:rsidRPr="00283959">
        <w:rPr>
          <w:rFonts w:eastAsia="Cambria" w:cs="Cambria"/>
          <w:sz w:val="18"/>
          <w:szCs w:val="18"/>
        </w:rPr>
        <w:t xml:space="preserve">emės ūkio ir maisto produktų rinkos reguliavimo </w:t>
      </w:r>
      <w:r>
        <w:rPr>
          <w:rFonts w:eastAsia="Cambria" w:cs="Cambria"/>
          <w:sz w:val="18"/>
          <w:szCs w:val="18"/>
        </w:rPr>
        <w:t>agentūros  atstovais, 2014 m. liepos 7 d.</w:t>
      </w:r>
    </w:p>
    <w:p w14:paraId="7F412F0E" w14:textId="77777777" w:rsidR="00066407" w:rsidRDefault="00066407" w:rsidP="005354F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0512E" w14:textId="2C32D4F4" w:rsidR="00066407" w:rsidRDefault="00066407">
    <w:pPr>
      <w:pStyle w:val="Header"/>
    </w:pPr>
  </w:p>
  <w:tbl>
    <w:tblPr>
      <w:tblW w:w="0" w:type="auto"/>
      <w:tblInd w:w="108" w:type="dxa"/>
      <w:tblBorders>
        <w:bottom w:val="single" w:sz="4" w:space="0" w:color="9A9A9A"/>
      </w:tblBorders>
      <w:tblLayout w:type="fixed"/>
      <w:tblLook w:val="04A0" w:firstRow="1" w:lastRow="0" w:firstColumn="1" w:lastColumn="0" w:noHBand="0" w:noVBand="1"/>
    </w:tblPr>
    <w:tblGrid>
      <w:gridCol w:w="8789"/>
      <w:gridCol w:w="1276"/>
    </w:tblGrid>
    <w:tr w:rsidR="00066407" w:rsidRPr="00CC5362" w14:paraId="163098D9" w14:textId="77777777" w:rsidTr="00F43244">
      <w:tc>
        <w:tcPr>
          <w:tcW w:w="8789" w:type="dxa"/>
          <w:shd w:val="clear" w:color="auto" w:fill="auto"/>
        </w:tcPr>
        <w:p w14:paraId="74470C87" w14:textId="420AC3AC" w:rsidR="00066407" w:rsidRPr="00CC5362" w:rsidRDefault="006D6B40" w:rsidP="00F43244">
          <w:pPr>
            <w:pStyle w:val="HeaderText"/>
            <w:spacing w:line="240" w:lineRule="auto"/>
            <w:rPr>
              <w:rStyle w:val="HeaderTextChar"/>
              <w:bCs/>
              <w:caps/>
            </w:rPr>
          </w:pPr>
          <w:sdt>
            <w:sdtPr>
              <w:rPr>
                <w:rFonts w:eastAsia="Times New Roman"/>
                <w:bCs w:val="0"/>
                <w:caps w:val="0"/>
              </w:rPr>
              <w:alias w:val="Title"/>
              <w:tag w:val="Title"/>
              <w:id w:val="-662011289"/>
              <w:dataBinding w:prefixMappings="xmlns:ns0='http://schemas.openxmlformats.org/package/2006/metadata/core-properties' xmlns:ns1='http://purl.org/dc/elements/1.1/'" w:xpath="/ns0:coreProperties[1]/ns1:title[1]" w:storeItemID="{6C3C8BC8-F283-45AE-878A-BAB7291924A1}"/>
              <w:text/>
            </w:sdtPr>
            <w:sdtEndPr/>
            <w:sdtContent>
              <w:r w:rsidR="00066407">
                <w:rPr>
                  <w:rFonts w:eastAsia="Times New Roman"/>
                  <w:bCs w:val="0"/>
                  <w:caps w:val="0"/>
                </w:rPr>
                <w:t>EUROPOS PAGALBOS LABIAUSIAI SKURSTANTIEMS ASMENIMS FONDO VEIKSMŲ PROGRAMOS IŠANKSTINIS VERTINIMAS</w:t>
              </w:r>
            </w:sdtContent>
          </w:sdt>
          <w:r w:rsidR="00066407" w:rsidRPr="003271C8">
            <w:rPr>
              <w:rStyle w:val="HeaderTextChar"/>
              <w:bCs/>
              <w:caps/>
            </w:rPr>
            <w:t xml:space="preserve"> </w:t>
          </w:r>
        </w:p>
      </w:tc>
      <w:tc>
        <w:tcPr>
          <w:tcW w:w="1276" w:type="dxa"/>
          <w:shd w:val="clear" w:color="auto" w:fill="auto"/>
        </w:tcPr>
        <w:p w14:paraId="64B8876F" w14:textId="61DF749F" w:rsidR="00066407" w:rsidRPr="00CC5362" w:rsidRDefault="00066407" w:rsidP="00F43244">
          <w:pPr>
            <w:pStyle w:val="HeaderText"/>
            <w:spacing w:line="240" w:lineRule="auto"/>
            <w:rPr>
              <w:rStyle w:val="HeaderTextChar"/>
              <w:bCs/>
              <w:caps/>
            </w:rPr>
          </w:pPr>
        </w:p>
      </w:tc>
    </w:tr>
  </w:tbl>
  <w:p w14:paraId="29A275C1" w14:textId="6C557FCC" w:rsidR="00066407" w:rsidRDefault="00066407">
    <w:pPr>
      <w:pStyle w:val="Header"/>
    </w:pPr>
  </w:p>
  <w:p w14:paraId="4DC39239" w14:textId="77777777" w:rsidR="00066407" w:rsidRDefault="000664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54452"/>
    <w:multiLevelType w:val="hybridMultilevel"/>
    <w:tmpl w:val="EF9007B0"/>
    <w:lvl w:ilvl="0" w:tplc="245C3CC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6EB757C"/>
    <w:multiLevelType w:val="hybridMultilevel"/>
    <w:tmpl w:val="1F50B72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6EC0AB4"/>
    <w:multiLevelType w:val="hybridMultilevel"/>
    <w:tmpl w:val="89DA184C"/>
    <w:lvl w:ilvl="0" w:tplc="0409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E043CF5"/>
    <w:multiLevelType w:val="hybridMultilevel"/>
    <w:tmpl w:val="91FACB70"/>
    <w:lvl w:ilvl="0" w:tplc="245C3CCA">
      <w:start w:val="1"/>
      <w:numFmt w:val="decimal"/>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FBD5009"/>
    <w:multiLevelType w:val="hybridMultilevel"/>
    <w:tmpl w:val="50C650A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001897"/>
    <w:multiLevelType w:val="hybridMultilevel"/>
    <w:tmpl w:val="41EC55B0"/>
    <w:lvl w:ilvl="0" w:tplc="245C3CC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342C41BF"/>
    <w:multiLevelType w:val="hybridMultilevel"/>
    <w:tmpl w:val="209448B2"/>
    <w:lvl w:ilvl="0" w:tplc="0409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35EB397D"/>
    <w:multiLevelType w:val="hybridMultilevel"/>
    <w:tmpl w:val="B7F0FC80"/>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nsid w:val="3DCD1E23"/>
    <w:multiLevelType w:val="hybridMultilevel"/>
    <w:tmpl w:val="DB18BC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420A3A4E"/>
    <w:multiLevelType w:val="hybridMultilevel"/>
    <w:tmpl w:val="7DC8E9C8"/>
    <w:lvl w:ilvl="0" w:tplc="5E020148">
      <w:start w:val="1"/>
      <w:numFmt w:val="decimal"/>
      <w:lvlText w:val="%1."/>
      <w:lvlJc w:val="left"/>
      <w:pPr>
        <w:ind w:left="720" w:hanging="360"/>
      </w:pPr>
      <w:rPr>
        <w:rFonts w:hint="default"/>
        <w:color w:val="036575" w:themeColor="accent5" w:themeTint="E6"/>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425915B7"/>
    <w:multiLevelType w:val="hybridMultilevel"/>
    <w:tmpl w:val="691A70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0F169C"/>
    <w:multiLevelType w:val="hybridMultilevel"/>
    <w:tmpl w:val="2B5234B0"/>
    <w:lvl w:ilvl="0" w:tplc="954E4C3E">
      <w:start w:val="1"/>
      <w:numFmt w:val="decimal"/>
      <w:lvlText w:val="%1)"/>
      <w:lvlJc w:val="left"/>
      <w:pPr>
        <w:ind w:left="720" w:hanging="360"/>
      </w:pPr>
      <w:rPr>
        <w:rFonts w:hint="default"/>
      </w:rPr>
    </w:lvl>
    <w:lvl w:ilvl="1" w:tplc="6E483468" w:tentative="1">
      <w:start w:val="1"/>
      <w:numFmt w:val="lowerLetter"/>
      <w:lvlText w:val="%2."/>
      <w:lvlJc w:val="left"/>
      <w:pPr>
        <w:ind w:left="1440" w:hanging="360"/>
      </w:pPr>
    </w:lvl>
    <w:lvl w:ilvl="2" w:tplc="052CA11C" w:tentative="1">
      <w:start w:val="1"/>
      <w:numFmt w:val="lowerRoman"/>
      <w:lvlText w:val="%3."/>
      <w:lvlJc w:val="right"/>
      <w:pPr>
        <w:ind w:left="2160" w:hanging="180"/>
      </w:pPr>
    </w:lvl>
    <w:lvl w:ilvl="3" w:tplc="620AA7D4" w:tentative="1">
      <w:start w:val="1"/>
      <w:numFmt w:val="decimal"/>
      <w:lvlText w:val="%4."/>
      <w:lvlJc w:val="left"/>
      <w:pPr>
        <w:ind w:left="2880" w:hanging="360"/>
      </w:pPr>
    </w:lvl>
    <w:lvl w:ilvl="4" w:tplc="F8A43C74" w:tentative="1">
      <w:start w:val="1"/>
      <w:numFmt w:val="lowerLetter"/>
      <w:lvlText w:val="%5."/>
      <w:lvlJc w:val="left"/>
      <w:pPr>
        <w:ind w:left="3600" w:hanging="360"/>
      </w:pPr>
    </w:lvl>
    <w:lvl w:ilvl="5" w:tplc="77FA4DEC" w:tentative="1">
      <w:start w:val="1"/>
      <w:numFmt w:val="lowerRoman"/>
      <w:lvlText w:val="%6."/>
      <w:lvlJc w:val="right"/>
      <w:pPr>
        <w:ind w:left="4320" w:hanging="180"/>
      </w:pPr>
    </w:lvl>
    <w:lvl w:ilvl="6" w:tplc="AFACD180" w:tentative="1">
      <w:start w:val="1"/>
      <w:numFmt w:val="decimal"/>
      <w:lvlText w:val="%7."/>
      <w:lvlJc w:val="left"/>
      <w:pPr>
        <w:ind w:left="5040" w:hanging="360"/>
      </w:pPr>
    </w:lvl>
    <w:lvl w:ilvl="7" w:tplc="D17AAF98" w:tentative="1">
      <w:start w:val="1"/>
      <w:numFmt w:val="lowerLetter"/>
      <w:lvlText w:val="%8."/>
      <w:lvlJc w:val="left"/>
      <w:pPr>
        <w:ind w:left="5760" w:hanging="360"/>
      </w:pPr>
    </w:lvl>
    <w:lvl w:ilvl="8" w:tplc="0278F60A" w:tentative="1">
      <w:start w:val="1"/>
      <w:numFmt w:val="lowerRoman"/>
      <w:lvlText w:val="%9."/>
      <w:lvlJc w:val="right"/>
      <w:pPr>
        <w:ind w:left="6480" w:hanging="180"/>
      </w:pPr>
    </w:lvl>
  </w:abstractNum>
  <w:abstractNum w:abstractNumId="12">
    <w:nsid w:val="5D0260DA"/>
    <w:multiLevelType w:val="multilevel"/>
    <w:tmpl w:val="ED381360"/>
    <w:lvl w:ilvl="0">
      <w:start w:val="1"/>
      <w:numFmt w:val="decimal"/>
      <w:pStyle w:val="Heading2"/>
      <w:lvlText w:val="%1."/>
      <w:lvlJc w:val="left"/>
      <w:pPr>
        <w:tabs>
          <w:tab w:val="num" w:pos="680"/>
        </w:tabs>
        <w:ind w:left="680" w:hanging="680"/>
      </w:pPr>
      <w:rPr>
        <w:rFonts w:asciiTheme="majorHAnsi" w:eastAsia="Lucida Sans Unicode" w:hAnsiTheme="majorHAnsi" w:cstheme="majorBidi" w:hint="default"/>
        <w:i w:val="0"/>
      </w:rPr>
    </w:lvl>
    <w:lvl w:ilvl="1">
      <w:start w:val="1"/>
      <w:numFmt w:val="decimal"/>
      <w:pStyle w:val="Heading3"/>
      <w:lvlText w:val="%1.%2."/>
      <w:lvlJc w:val="left"/>
      <w:pPr>
        <w:tabs>
          <w:tab w:val="num" w:pos="680"/>
        </w:tabs>
        <w:ind w:left="680" w:hanging="680"/>
      </w:pPr>
      <w:rPr>
        <w:rFonts w:hint="default"/>
      </w:rPr>
    </w:lvl>
    <w:lvl w:ilvl="2">
      <w:start w:val="1"/>
      <w:numFmt w:val="decimal"/>
      <w:pStyle w:val="Heading4"/>
      <w:lvlText w:val="%1.%2.%3."/>
      <w:lvlJc w:val="left"/>
      <w:pPr>
        <w:tabs>
          <w:tab w:val="num" w:pos="680"/>
        </w:tabs>
        <w:ind w:left="680" w:hanging="680"/>
      </w:pPr>
      <w:rPr>
        <w:rFonts w:hint="default"/>
      </w:rPr>
    </w:lvl>
    <w:lvl w:ilvl="3">
      <w:start w:val="1"/>
      <w:numFmt w:val="decimal"/>
      <w:pStyle w:val="Heading5"/>
      <w:lvlText w:val="%1.%2.%3.%4."/>
      <w:lvlJc w:val="left"/>
      <w:pPr>
        <w:tabs>
          <w:tab w:val="num" w:pos="680"/>
        </w:tabs>
        <w:ind w:left="680" w:hanging="680"/>
      </w:pPr>
      <w:rPr>
        <w:rFonts w:hint="default"/>
      </w:rPr>
    </w:lvl>
    <w:lvl w:ilvl="4">
      <w:start w:val="1"/>
      <w:numFmt w:val="decimal"/>
      <w:lvlText w:val="%1.%2.%3.%4.%5."/>
      <w:lvlJc w:val="left"/>
      <w:pPr>
        <w:tabs>
          <w:tab w:val="num" w:pos="680"/>
        </w:tabs>
        <w:ind w:left="680" w:hanging="680"/>
      </w:pPr>
      <w:rPr>
        <w:rFonts w:hint="default"/>
      </w:rPr>
    </w:lvl>
    <w:lvl w:ilvl="5">
      <w:start w:val="1"/>
      <w:numFmt w:val="decimal"/>
      <w:lvlText w:val="%1.%2.%3.%4.%5.%6."/>
      <w:lvlJc w:val="left"/>
      <w:pPr>
        <w:tabs>
          <w:tab w:val="num" w:pos="680"/>
        </w:tabs>
        <w:ind w:left="680" w:hanging="680"/>
      </w:pPr>
      <w:rPr>
        <w:rFonts w:hint="default"/>
      </w:rPr>
    </w:lvl>
    <w:lvl w:ilvl="6">
      <w:start w:val="1"/>
      <w:numFmt w:val="decimal"/>
      <w:lvlText w:val="%1.%2.%3.%4.%5.%6.%7."/>
      <w:lvlJc w:val="left"/>
      <w:pPr>
        <w:tabs>
          <w:tab w:val="num" w:pos="680"/>
        </w:tabs>
        <w:ind w:left="680" w:hanging="680"/>
      </w:pPr>
      <w:rPr>
        <w:rFonts w:hint="default"/>
      </w:rPr>
    </w:lvl>
    <w:lvl w:ilvl="7">
      <w:start w:val="1"/>
      <w:numFmt w:val="decimal"/>
      <w:lvlText w:val="%1.%2.%3.%4.%5.%6.%7.%8."/>
      <w:lvlJc w:val="left"/>
      <w:pPr>
        <w:tabs>
          <w:tab w:val="num" w:pos="680"/>
        </w:tabs>
        <w:ind w:left="680" w:hanging="680"/>
      </w:pPr>
      <w:rPr>
        <w:rFonts w:hint="default"/>
      </w:rPr>
    </w:lvl>
    <w:lvl w:ilvl="8">
      <w:start w:val="1"/>
      <w:numFmt w:val="decimal"/>
      <w:lvlText w:val="%1.%2.%3.%4.%5.%6.%7.%8.%9."/>
      <w:lvlJc w:val="left"/>
      <w:pPr>
        <w:tabs>
          <w:tab w:val="num" w:pos="680"/>
        </w:tabs>
        <w:ind w:left="680" w:hanging="680"/>
      </w:pPr>
      <w:rPr>
        <w:rFonts w:hint="default"/>
      </w:rPr>
    </w:lvl>
  </w:abstractNum>
  <w:abstractNum w:abstractNumId="13">
    <w:nsid w:val="5D874ACD"/>
    <w:multiLevelType w:val="hybridMultilevel"/>
    <w:tmpl w:val="4CC48C5A"/>
    <w:lvl w:ilvl="0" w:tplc="DFA209A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724577"/>
    <w:multiLevelType w:val="hybridMultilevel"/>
    <w:tmpl w:val="7DC8E9C8"/>
    <w:lvl w:ilvl="0" w:tplc="5E020148">
      <w:start w:val="1"/>
      <w:numFmt w:val="decimal"/>
      <w:lvlText w:val="%1."/>
      <w:lvlJc w:val="left"/>
      <w:pPr>
        <w:ind w:left="720" w:hanging="360"/>
      </w:pPr>
      <w:rPr>
        <w:rFonts w:hint="default"/>
        <w:color w:val="036575" w:themeColor="accent5" w:themeTint="E6"/>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63F87803"/>
    <w:multiLevelType w:val="hybridMultilevel"/>
    <w:tmpl w:val="C4102590"/>
    <w:lvl w:ilvl="0" w:tplc="72FA4C70">
      <w:start w:val="2014"/>
      <w:numFmt w:val="bullet"/>
      <w:lvlText w:val="-"/>
      <w:lvlJc w:val="left"/>
      <w:pPr>
        <w:ind w:left="1080" w:hanging="360"/>
      </w:pPr>
      <w:rPr>
        <w:rFonts w:ascii="Cambria" w:eastAsiaTheme="minorEastAsia" w:hAnsi="Cambria" w:cstheme="minorBidi"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6">
    <w:nsid w:val="65122229"/>
    <w:multiLevelType w:val="hybridMultilevel"/>
    <w:tmpl w:val="8FB496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8148FD"/>
    <w:multiLevelType w:val="hybridMultilevel"/>
    <w:tmpl w:val="C2F0FEB2"/>
    <w:lvl w:ilvl="0" w:tplc="245C3CC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672C4D2A"/>
    <w:multiLevelType w:val="hybridMultilevel"/>
    <w:tmpl w:val="D0BEC020"/>
    <w:lvl w:ilvl="0" w:tplc="1CD807CC">
      <w:start w:val="1"/>
      <w:numFmt w:val="decimal"/>
      <w:lvlText w:val="%1."/>
      <w:lvlJc w:val="left"/>
      <w:pPr>
        <w:ind w:left="720" w:hanging="360"/>
      </w:pPr>
      <w:rPr>
        <w:rFonts w:hint="default"/>
        <w:color w:val="036575" w:themeColor="accent5" w:themeTint="E6"/>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695700B4"/>
    <w:multiLevelType w:val="hybridMultilevel"/>
    <w:tmpl w:val="3B5A45F4"/>
    <w:styleLink w:val="StyleBulleted2"/>
    <w:lvl w:ilvl="0" w:tplc="FFFFFFFF">
      <w:start w:val="1"/>
      <w:numFmt w:val="bullet"/>
      <w:lvlText w:val=""/>
      <w:lvlJc w:val="left"/>
      <w:pPr>
        <w:tabs>
          <w:tab w:val="num" w:pos="600"/>
        </w:tabs>
        <w:ind w:left="60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B265D2F"/>
    <w:multiLevelType w:val="hybridMultilevel"/>
    <w:tmpl w:val="3BD6D4AE"/>
    <w:lvl w:ilvl="0" w:tplc="04090011">
      <w:start w:val="1"/>
      <w:numFmt w:val="decimal"/>
      <w:lvlText w:val="%1)"/>
      <w:lvlJc w:val="left"/>
      <w:pPr>
        <w:ind w:left="1225" w:hanging="360"/>
      </w:pPr>
      <w:rPr>
        <w:rFonts w:hint="default"/>
      </w:rPr>
    </w:lvl>
    <w:lvl w:ilvl="1" w:tplc="04090003" w:tentative="1">
      <w:start w:val="1"/>
      <w:numFmt w:val="bullet"/>
      <w:lvlText w:val="o"/>
      <w:lvlJc w:val="left"/>
      <w:pPr>
        <w:ind w:left="1945" w:hanging="360"/>
      </w:pPr>
      <w:rPr>
        <w:rFonts w:ascii="Courier New" w:hAnsi="Courier New" w:cs="Courier New" w:hint="default"/>
      </w:rPr>
    </w:lvl>
    <w:lvl w:ilvl="2" w:tplc="04090005" w:tentative="1">
      <w:start w:val="1"/>
      <w:numFmt w:val="bullet"/>
      <w:lvlText w:val=""/>
      <w:lvlJc w:val="left"/>
      <w:pPr>
        <w:ind w:left="2665" w:hanging="360"/>
      </w:pPr>
      <w:rPr>
        <w:rFonts w:ascii="Wingdings" w:hAnsi="Wingdings" w:hint="default"/>
      </w:rPr>
    </w:lvl>
    <w:lvl w:ilvl="3" w:tplc="04090001" w:tentative="1">
      <w:start w:val="1"/>
      <w:numFmt w:val="bullet"/>
      <w:lvlText w:val=""/>
      <w:lvlJc w:val="left"/>
      <w:pPr>
        <w:ind w:left="3385" w:hanging="360"/>
      </w:pPr>
      <w:rPr>
        <w:rFonts w:ascii="Symbol" w:hAnsi="Symbol" w:hint="default"/>
      </w:rPr>
    </w:lvl>
    <w:lvl w:ilvl="4" w:tplc="04090003" w:tentative="1">
      <w:start w:val="1"/>
      <w:numFmt w:val="bullet"/>
      <w:lvlText w:val="o"/>
      <w:lvlJc w:val="left"/>
      <w:pPr>
        <w:ind w:left="4105" w:hanging="360"/>
      </w:pPr>
      <w:rPr>
        <w:rFonts w:ascii="Courier New" w:hAnsi="Courier New" w:cs="Courier New" w:hint="default"/>
      </w:rPr>
    </w:lvl>
    <w:lvl w:ilvl="5" w:tplc="04090005" w:tentative="1">
      <w:start w:val="1"/>
      <w:numFmt w:val="bullet"/>
      <w:lvlText w:val=""/>
      <w:lvlJc w:val="left"/>
      <w:pPr>
        <w:ind w:left="4825" w:hanging="360"/>
      </w:pPr>
      <w:rPr>
        <w:rFonts w:ascii="Wingdings" w:hAnsi="Wingdings" w:hint="default"/>
      </w:rPr>
    </w:lvl>
    <w:lvl w:ilvl="6" w:tplc="04090001" w:tentative="1">
      <w:start w:val="1"/>
      <w:numFmt w:val="bullet"/>
      <w:lvlText w:val=""/>
      <w:lvlJc w:val="left"/>
      <w:pPr>
        <w:ind w:left="5545" w:hanging="360"/>
      </w:pPr>
      <w:rPr>
        <w:rFonts w:ascii="Symbol" w:hAnsi="Symbol" w:hint="default"/>
      </w:rPr>
    </w:lvl>
    <w:lvl w:ilvl="7" w:tplc="04090003" w:tentative="1">
      <w:start w:val="1"/>
      <w:numFmt w:val="bullet"/>
      <w:lvlText w:val="o"/>
      <w:lvlJc w:val="left"/>
      <w:pPr>
        <w:ind w:left="6265" w:hanging="360"/>
      </w:pPr>
      <w:rPr>
        <w:rFonts w:ascii="Courier New" w:hAnsi="Courier New" w:cs="Courier New" w:hint="default"/>
      </w:rPr>
    </w:lvl>
    <w:lvl w:ilvl="8" w:tplc="04090005" w:tentative="1">
      <w:start w:val="1"/>
      <w:numFmt w:val="bullet"/>
      <w:lvlText w:val=""/>
      <w:lvlJc w:val="left"/>
      <w:pPr>
        <w:ind w:left="6985" w:hanging="360"/>
      </w:pPr>
      <w:rPr>
        <w:rFonts w:ascii="Wingdings" w:hAnsi="Wingdings" w:hint="default"/>
      </w:rPr>
    </w:lvl>
  </w:abstractNum>
  <w:abstractNum w:abstractNumId="21">
    <w:nsid w:val="6BC64FE2"/>
    <w:multiLevelType w:val="hybridMultilevel"/>
    <w:tmpl w:val="9C087B44"/>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nsid w:val="6C4B38CF"/>
    <w:multiLevelType w:val="hybridMultilevel"/>
    <w:tmpl w:val="27A2CDE6"/>
    <w:lvl w:ilvl="0" w:tplc="0409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7BE95D7F"/>
    <w:multiLevelType w:val="multilevel"/>
    <w:tmpl w:val="6D0AA288"/>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4">
    <w:nsid w:val="7EC52D4E"/>
    <w:multiLevelType w:val="hybridMultilevel"/>
    <w:tmpl w:val="74FA3164"/>
    <w:name w:val="3.194857E-02"/>
    <w:lvl w:ilvl="0" w:tplc="C19AA3BC">
      <w:start w:val="1"/>
      <w:numFmt w:val="bullet"/>
      <w:lvlText w:val=""/>
      <w:lvlJc w:val="left"/>
      <w:pPr>
        <w:ind w:left="1023" w:hanging="360"/>
      </w:pPr>
      <w:rPr>
        <w:rFonts w:ascii="Symbol" w:hAnsi="Symbol" w:hint="default"/>
      </w:rPr>
    </w:lvl>
    <w:lvl w:ilvl="1" w:tplc="0E88EC80" w:tentative="1">
      <w:start w:val="1"/>
      <w:numFmt w:val="bullet"/>
      <w:lvlText w:val="o"/>
      <w:lvlJc w:val="left"/>
      <w:pPr>
        <w:ind w:left="1743" w:hanging="360"/>
      </w:pPr>
      <w:rPr>
        <w:rFonts w:ascii="Courier New" w:hAnsi="Courier New" w:cs="Courier New" w:hint="default"/>
      </w:rPr>
    </w:lvl>
    <w:lvl w:ilvl="2" w:tplc="AE5EC356" w:tentative="1">
      <w:start w:val="1"/>
      <w:numFmt w:val="bullet"/>
      <w:lvlText w:val=""/>
      <w:lvlJc w:val="left"/>
      <w:pPr>
        <w:ind w:left="2463" w:hanging="360"/>
      </w:pPr>
      <w:rPr>
        <w:rFonts w:ascii="Wingdings" w:hAnsi="Wingdings" w:hint="default"/>
      </w:rPr>
    </w:lvl>
    <w:lvl w:ilvl="3" w:tplc="627EDA60" w:tentative="1">
      <w:start w:val="1"/>
      <w:numFmt w:val="bullet"/>
      <w:lvlText w:val=""/>
      <w:lvlJc w:val="left"/>
      <w:pPr>
        <w:ind w:left="3183" w:hanging="360"/>
      </w:pPr>
      <w:rPr>
        <w:rFonts w:ascii="Symbol" w:hAnsi="Symbol" w:hint="default"/>
      </w:rPr>
    </w:lvl>
    <w:lvl w:ilvl="4" w:tplc="4296ECC0" w:tentative="1">
      <w:start w:val="1"/>
      <w:numFmt w:val="bullet"/>
      <w:lvlText w:val="o"/>
      <w:lvlJc w:val="left"/>
      <w:pPr>
        <w:ind w:left="3903" w:hanging="360"/>
      </w:pPr>
      <w:rPr>
        <w:rFonts w:ascii="Courier New" w:hAnsi="Courier New" w:cs="Courier New" w:hint="default"/>
      </w:rPr>
    </w:lvl>
    <w:lvl w:ilvl="5" w:tplc="18A8515A" w:tentative="1">
      <w:start w:val="1"/>
      <w:numFmt w:val="bullet"/>
      <w:lvlText w:val=""/>
      <w:lvlJc w:val="left"/>
      <w:pPr>
        <w:ind w:left="4623" w:hanging="360"/>
      </w:pPr>
      <w:rPr>
        <w:rFonts w:ascii="Wingdings" w:hAnsi="Wingdings" w:hint="default"/>
      </w:rPr>
    </w:lvl>
    <w:lvl w:ilvl="6" w:tplc="7CAE848E" w:tentative="1">
      <w:start w:val="1"/>
      <w:numFmt w:val="bullet"/>
      <w:lvlText w:val=""/>
      <w:lvlJc w:val="left"/>
      <w:pPr>
        <w:ind w:left="5343" w:hanging="360"/>
      </w:pPr>
      <w:rPr>
        <w:rFonts w:ascii="Symbol" w:hAnsi="Symbol" w:hint="default"/>
      </w:rPr>
    </w:lvl>
    <w:lvl w:ilvl="7" w:tplc="D6B2139A" w:tentative="1">
      <w:start w:val="1"/>
      <w:numFmt w:val="bullet"/>
      <w:lvlText w:val="o"/>
      <w:lvlJc w:val="left"/>
      <w:pPr>
        <w:ind w:left="6063" w:hanging="360"/>
      </w:pPr>
      <w:rPr>
        <w:rFonts w:ascii="Courier New" w:hAnsi="Courier New" w:cs="Courier New" w:hint="default"/>
      </w:rPr>
    </w:lvl>
    <w:lvl w:ilvl="8" w:tplc="58402B14" w:tentative="1">
      <w:start w:val="1"/>
      <w:numFmt w:val="bullet"/>
      <w:lvlText w:val=""/>
      <w:lvlJc w:val="left"/>
      <w:pPr>
        <w:ind w:left="6783" w:hanging="360"/>
      </w:pPr>
      <w:rPr>
        <w:rFonts w:ascii="Wingdings" w:hAnsi="Wingdings" w:hint="default"/>
      </w:rPr>
    </w:lvl>
  </w:abstractNum>
  <w:num w:numId="1">
    <w:abstractNumId w:val="12"/>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1"/>
  </w:num>
  <w:num w:numId="5">
    <w:abstractNumId w:val="21"/>
  </w:num>
  <w:num w:numId="6">
    <w:abstractNumId w:val="3"/>
  </w:num>
  <w:num w:numId="7">
    <w:abstractNumId w:val="20"/>
  </w:num>
  <w:num w:numId="8">
    <w:abstractNumId w:val="22"/>
  </w:num>
  <w:num w:numId="9">
    <w:abstractNumId w:val="13"/>
  </w:num>
  <w:num w:numId="10">
    <w:abstractNumId w:val="9"/>
  </w:num>
  <w:num w:numId="11">
    <w:abstractNumId w:val="17"/>
  </w:num>
  <w:num w:numId="12">
    <w:abstractNumId w:val="5"/>
  </w:num>
  <w:num w:numId="13">
    <w:abstractNumId w:val="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8"/>
  </w:num>
  <w:num w:numId="17">
    <w:abstractNumId w:val="16"/>
  </w:num>
  <w:num w:numId="18">
    <w:abstractNumId w:val="4"/>
  </w:num>
  <w:num w:numId="19">
    <w:abstractNumId w:val="10"/>
  </w:num>
  <w:num w:numId="20">
    <w:abstractNumId w:val="14"/>
  </w:num>
  <w:num w:numId="21">
    <w:abstractNumId w:val="18"/>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6"/>
  </w:num>
  <w:num w:numId="25">
    <w:abstractNumId w:val="1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GrammaticalErrors/>
  <w:proofState w:spelling="clean" w:grammar="clean"/>
  <w:attachedTemplate r:id="rId1"/>
  <w:defaultTabStop w:val="1296"/>
  <w:hyphenationZone w:val="396"/>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A05"/>
    <w:rsid w:val="00000066"/>
    <w:rsid w:val="00000B86"/>
    <w:rsid w:val="00001FB9"/>
    <w:rsid w:val="00001FC5"/>
    <w:rsid w:val="000036AD"/>
    <w:rsid w:val="00004789"/>
    <w:rsid w:val="00004D88"/>
    <w:rsid w:val="00006095"/>
    <w:rsid w:val="00006517"/>
    <w:rsid w:val="00006721"/>
    <w:rsid w:val="00007D96"/>
    <w:rsid w:val="00011128"/>
    <w:rsid w:val="000112BC"/>
    <w:rsid w:val="000117B2"/>
    <w:rsid w:val="00011D61"/>
    <w:rsid w:val="00012778"/>
    <w:rsid w:val="00012E3F"/>
    <w:rsid w:val="00012EC2"/>
    <w:rsid w:val="00014981"/>
    <w:rsid w:val="000160CE"/>
    <w:rsid w:val="00016CE7"/>
    <w:rsid w:val="00021E8A"/>
    <w:rsid w:val="0002237F"/>
    <w:rsid w:val="00023B34"/>
    <w:rsid w:val="000246FF"/>
    <w:rsid w:val="00024EA6"/>
    <w:rsid w:val="00025442"/>
    <w:rsid w:val="00025EC9"/>
    <w:rsid w:val="00030704"/>
    <w:rsid w:val="00030AC4"/>
    <w:rsid w:val="000328D4"/>
    <w:rsid w:val="0003297F"/>
    <w:rsid w:val="00033537"/>
    <w:rsid w:val="00034106"/>
    <w:rsid w:val="0003421C"/>
    <w:rsid w:val="00034DC3"/>
    <w:rsid w:val="000358AC"/>
    <w:rsid w:val="0003660E"/>
    <w:rsid w:val="00036634"/>
    <w:rsid w:val="0003757C"/>
    <w:rsid w:val="0004007A"/>
    <w:rsid w:val="0004059E"/>
    <w:rsid w:val="00040B0E"/>
    <w:rsid w:val="0004114A"/>
    <w:rsid w:val="0004233F"/>
    <w:rsid w:val="000426CF"/>
    <w:rsid w:val="00043524"/>
    <w:rsid w:val="00044A37"/>
    <w:rsid w:val="000464BA"/>
    <w:rsid w:val="000474D9"/>
    <w:rsid w:val="0004778C"/>
    <w:rsid w:val="00047A06"/>
    <w:rsid w:val="000511C5"/>
    <w:rsid w:val="00052695"/>
    <w:rsid w:val="000526FC"/>
    <w:rsid w:val="00052876"/>
    <w:rsid w:val="00052D2A"/>
    <w:rsid w:val="0005303D"/>
    <w:rsid w:val="00053174"/>
    <w:rsid w:val="000531D0"/>
    <w:rsid w:val="00054290"/>
    <w:rsid w:val="00054AA5"/>
    <w:rsid w:val="00055706"/>
    <w:rsid w:val="00056658"/>
    <w:rsid w:val="000602FC"/>
    <w:rsid w:val="000611EE"/>
    <w:rsid w:val="00062ABB"/>
    <w:rsid w:val="00064B48"/>
    <w:rsid w:val="00066407"/>
    <w:rsid w:val="00066658"/>
    <w:rsid w:val="00066FE0"/>
    <w:rsid w:val="0007224F"/>
    <w:rsid w:val="00072F0E"/>
    <w:rsid w:val="00073B73"/>
    <w:rsid w:val="00074A12"/>
    <w:rsid w:val="000750A5"/>
    <w:rsid w:val="000757CA"/>
    <w:rsid w:val="00075A95"/>
    <w:rsid w:val="00075F66"/>
    <w:rsid w:val="00076841"/>
    <w:rsid w:val="000769C4"/>
    <w:rsid w:val="00076D9F"/>
    <w:rsid w:val="00080002"/>
    <w:rsid w:val="000806E9"/>
    <w:rsid w:val="00081FD4"/>
    <w:rsid w:val="00082E11"/>
    <w:rsid w:val="0008389B"/>
    <w:rsid w:val="0008422C"/>
    <w:rsid w:val="00084392"/>
    <w:rsid w:val="00085DAE"/>
    <w:rsid w:val="00090437"/>
    <w:rsid w:val="00090B2D"/>
    <w:rsid w:val="0009163B"/>
    <w:rsid w:val="00092169"/>
    <w:rsid w:val="00092299"/>
    <w:rsid w:val="0009258A"/>
    <w:rsid w:val="000931D6"/>
    <w:rsid w:val="000942EA"/>
    <w:rsid w:val="00095AEA"/>
    <w:rsid w:val="00095C33"/>
    <w:rsid w:val="0009700B"/>
    <w:rsid w:val="000A03B8"/>
    <w:rsid w:val="000A0803"/>
    <w:rsid w:val="000A2A4B"/>
    <w:rsid w:val="000A2BB8"/>
    <w:rsid w:val="000A2ECF"/>
    <w:rsid w:val="000A36A4"/>
    <w:rsid w:val="000A3DBF"/>
    <w:rsid w:val="000A5259"/>
    <w:rsid w:val="000A539B"/>
    <w:rsid w:val="000A56E6"/>
    <w:rsid w:val="000A736F"/>
    <w:rsid w:val="000B0E7C"/>
    <w:rsid w:val="000B0F28"/>
    <w:rsid w:val="000B1AD2"/>
    <w:rsid w:val="000B2AA4"/>
    <w:rsid w:val="000B4646"/>
    <w:rsid w:val="000B5296"/>
    <w:rsid w:val="000B5E67"/>
    <w:rsid w:val="000B63D3"/>
    <w:rsid w:val="000B6A56"/>
    <w:rsid w:val="000B7166"/>
    <w:rsid w:val="000C128A"/>
    <w:rsid w:val="000C1CB2"/>
    <w:rsid w:val="000C519D"/>
    <w:rsid w:val="000C6DE6"/>
    <w:rsid w:val="000D160F"/>
    <w:rsid w:val="000D1A51"/>
    <w:rsid w:val="000D28E3"/>
    <w:rsid w:val="000D4870"/>
    <w:rsid w:val="000D515A"/>
    <w:rsid w:val="000D559F"/>
    <w:rsid w:val="000D6073"/>
    <w:rsid w:val="000D662B"/>
    <w:rsid w:val="000D683B"/>
    <w:rsid w:val="000D72D5"/>
    <w:rsid w:val="000E0220"/>
    <w:rsid w:val="000E076E"/>
    <w:rsid w:val="000E0786"/>
    <w:rsid w:val="000E0E2A"/>
    <w:rsid w:val="000E1475"/>
    <w:rsid w:val="000E1CB1"/>
    <w:rsid w:val="000E263B"/>
    <w:rsid w:val="000E5681"/>
    <w:rsid w:val="000E5AEB"/>
    <w:rsid w:val="000E60BB"/>
    <w:rsid w:val="000E652D"/>
    <w:rsid w:val="000E65D2"/>
    <w:rsid w:val="000E774F"/>
    <w:rsid w:val="000E7904"/>
    <w:rsid w:val="000F0248"/>
    <w:rsid w:val="000F1311"/>
    <w:rsid w:val="000F1BC5"/>
    <w:rsid w:val="000F221B"/>
    <w:rsid w:val="000F23E9"/>
    <w:rsid w:val="000F3047"/>
    <w:rsid w:val="000F4576"/>
    <w:rsid w:val="000F468A"/>
    <w:rsid w:val="000F4A42"/>
    <w:rsid w:val="000F4B2E"/>
    <w:rsid w:val="000F5FD9"/>
    <w:rsid w:val="000F6B1D"/>
    <w:rsid w:val="000F7820"/>
    <w:rsid w:val="00100CCA"/>
    <w:rsid w:val="00100D7D"/>
    <w:rsid w:val="00101CB2"/>
    <w:rsid w:val="001021CE"/>
    <w:rsid w:val="00102529"/>
    <w:rsid w:val="00102BF6"/>
    <w:rsid w:val="0010610F"/>
    <w:rsid w:val="00106199"/>
    <w:rsid w:val="00106629"/>
    <w:rsid w:val="001104BF"/>
    <w:rsid w:val="0011295A"/>
    <w:rsid w:val="00112B4E"/>
    <w:rsid w:val="00114FD6"/>
    <w:rsid w:val="0011676C"/>
    <w:rsid w:val="00120124"/>
    <w:rsid w:val="00120646"/>
    <w:rsid w:val="001208A2"/>
    <w:rsid w:val="001209EA"/>
    <w:rsid w:val="00120F42"/>
    <w:rsid w:val="00121CFC"/>
    <w:rsid w:val="00123135"/>
    <w:rsid w:val="001232FD"/>
    <w:rsid w:val="00123316"/>
    <w:rsid w:val="0012369C"/>
    <w:rsid w:val="001241F8"/>
    <w:rsid w:val="00125348"/>
    <w:rsid w:val="00125923"/>
    <w:rsid w:val="00126339"/>
    <w:rsid w:val="00130958"/>
    <w:rsid w:val="00131497"/>
    <w:rsid w:val="0013154C"/>
    <w:rsid w:val="00131CC5"/>
    <w:rsid w:val="00132122"/>
    <w:rsid w:val="00132C4B"/>
    <w:rsid w:val="00133133"/>
    <w:rsid w:val="00133A29"/>
    <w:rsid w:val="0013554B"/>
    <w:rsid w:val="00135931"/>
    <w:rsid w:val="00136E14"/>
    <w:rsid w:val="0013746E"/>
    <w:rsid w:val="001375A9"/>
    <w:rsid w:val="00137BAF"/>
    <w:rsid w:val="00137BC5"/>
    <w:rsid w:val="0014152A"/>
    <w:rsid w:val="00141692"/>
    <w:rsid w:val="00142C19"/>
    <w:rsid w:val="00142D4B"/>
    <w:rsid w:val="00143A92"/>
    <w:rsid w:val="00144B74"/>
    <w:rsid w:val="00144DB6"/>
    <w:rsid w:val="00144DD0"/>
    <w:rsid w:val="00145448"/>
    <w:rsid w:val="00146BB7"/>
    <w:rsid w:val="0014773A"/>
    <w:rsid w:val="00147A73"/>
    <w:rsid w:val="00147E39"/>
    <w:rsid w:val="00147FDC"/>
    <w:rsid w:val="00150C3F"/>
    <w:rsid w:val="00150FAF"/>
    <w:rsid w:val="001521E6"/>
    <w:rsid w:val="001527D9"/>
    <w:rsid w:val="001528DE"/>
    <w:rsid w:val="00154A56"/>
    <w:rsid w:val="001552D0"/>
    <w:rsid w:val="00155A7C"/>
    <w:rsid w:val="00155C28"/>
    <w:rsid w:val="00156AFE"/>
    <w:rsid w:val="0015774A"/>
    <w:rsid w:val="00157829"/>
    <w:rsid w:val="00162CAD"/>
    <w:rsid w:val="001656F0"/>
    <w:rsid w:val="00165D24"/>
    <w:rsid w:val="00166921"/>
    <w:rsid w:val="00167830"/>
    <w:rsid w:val="0017067F"/>
    <w:rsid w:val="0017092B"/>
    <w:rsid w:val="00171E19"/>
    <w:rsid w:val="00172339"/>
    <w:rsid w:val="00172422"/>
    <w:rsid w:val="00173ADE"/>
    <w:rsid w:val="00175A74"/>
    <w:rsid w:val="00175B0C"/>
    <w:rsid w:val="001762CC"/>
    <w:rsid w:val="00176FAB"/>
    <w:rsid w:val="0017710A"/>
    <w:rsid w:val="00177CCA"/>
    <w:rsid w:val="00181A41"/>
    <w:rsid w:val="001824EA"/>
    <w:rsid w:val="00182512"/>
    <w:rsid w:val="001836A2"/>
    <w:rsid w:val="001840E6"/>
    <w:rsid w:val="0018420E"/>
    <w:rsid w:val="00184823"/>
    <w:rsid w:val="001856D2"/>
    <w:rsid w:val="001863CB"/>
    <w:rsid w:val="001908F4"/>
    <w:rsid w:val="00190A97"/>
    <w:rsid w:val="00190BD5"/>
    <w:rsid w:val="0019116F"/>
    <w:rsid w:val="00196EF0"/>
    <w:rsid w:val="001A09A3"/>
    <w:rsid w:val="001A16D0"/>
    <w:rsid w:val="001A1753"/>
    <w:rsid w:val="001A2E88"/>
    <w:rsid w:val="001A3A85"/>
    <w:rsid w:val="001A3D36"/>
    <w:rsid w:val="001A433E"/>
    <w:rsid w:val="001A652A"/>
    <w:rsid w:val="001A6D41"/>
    <w:rsid w:val="001A706D"/>
    <w:rsid w:val="001A786F"/>
    <w:rsid w:val="001B03CB"/>
    <w:rsid w:val="001B2584"/>
    <w:rsid w:val="001B2C07"/>
    <w:rsid w:val="001B4809"/>
    <w:rsid w:val="001B514E"/>
    <w:rsid w:val="001B6056"/>
    <w:rsid w:val="001B61AF"/>
    <w:rsid w:val="001B64F0"/>
    <w:rsid w:val="001B6AFE"/>
    <w:rsid w:val="001B791B"/>
    <w:rsid w:val="001B7B40"/>
    <w:rsid w:val="001C1731"/>
    <w:rsid w:val="001C1D2F"/>
    <w:rsid w:val="001C217D"/>
    <w:rsid w:val="001C381E"/>
    <w:rsid w:val="001C4BED"/>
    <w:rsid w:val="001C603C"/>
    <w:rsid w:val="001C6C3C"/>
    <w:rsid w:val="001C7985"/>
    <w:rsid w:val="001D36E1"/>
    <w:rsid w:val="001D578C"/>
    <w:rsid w:val="001E11A2"/>
    <w:rsid w:val="001E3432"/>
    <w:rsid w:val="001E4F67"/>
    <w:rsid w:val="001E5511"/>
    <w:rsid w:val="001E6AC8"/>
    <w:rsid w:val="001F078C"/>
    <w:rsid w:val="001F0A7D"/>
    <w:rsid w:val="001F1644"/>
    <w:rsid w:val="001F2DEE"/>
    <w:rsid w:val="001F59AC"/>
    <w:rsid w:val="001F5FCD"/>
    <w:rsid w:val="001F6E14"/>
    <w:rsid w:val="001F7B78"/>
    <w:rsid w:val="001F7EB6"/>
    <w:rsid w:val="00200667"/>
    <w:rsid w:val="00201718"/>
    <w:rsid w:val="00201C93"/>
    <w:rsid w:val="00202157"/>
    <w:rsid w:val="0020353C"/>
    <w:rsid w:val="0020369B"/>
    <w:rsid w:val="0020581E"/>
    <w:rsid w:val="0020651F"/>
    <w:rsid w:val="002066DF"/>
    <w:rsid w:val="00207A55"/>
    <w:rsid w:val="0021112C"/>
    <w:rsid w:val="002115AA"/>
    <w:rsid w:val="00211869"/>
    <w:rsid w:val="00211D4A"/>
    <w:rsid w:val="0021286E"/>
    <w:rsid w:val="00212F1C"/>
    <w:rsid w:val="00214648"/>
    <w:rsid w:val="00215DBC"/>
    <w:rsid w:val="00216EDF"/>
    <w:rsid w:val="002178EE"/>
    <w:rsid w:val="00217997"/>
    <w:rsid w:val="0022032B"/>
    <w:rsid w:val="00220488"/>
    <w:rsid w:val="002205F1"/>
    <w:rsid w:val="00220690"/>
    <w:rsid w:val="00222399"/>
    <w:rsid w:val="00222FE6"/>
    <w:rsid w:val="0022499D"/>
    <w:rsid w:val="00230FFE"/>
    <w:rsid w:val="002327E6"/>
    <w:rsid w:val="002373B3"/>
    <w:rsid w:val="002373BC"/>
    <w:rsid w:val="00237FC6"/>
    <w:rsid w:val="0024196C"/>
    <w:rsid w:val="00241E8C"/>
    <w:rsid w:val="00242127"/>
    <w:rsid w:val="00243AAC"/>
    <w:rsid w:val="00243E14"/>
    <w:rsid w:val="00244DCD"/>
    <w:rsid w:val="0024530F"/>
    <w:rsid w:val="002458E9"/>
    <w:rsid w:val="00245C13"/>
    <w:rsid w:val="0024674D"/>
    <w:rsid w:val="00247DF5"/>
    <w:rsid w:val="002502E4"/>
    <w:rsid w:val="002524BE"/>
    <w:rsid w:val="0025255C"/>
    <w:rsid w:val="002529D6"/>
    <w:rsid w:val="00252DA0"/>
    <w:rsid w:val="002539F6"/>
    <w:rsid w:val="002541DF"/>
    <w:rsid w:val="00260EA3"/>
    <w:rsid w:val="00260F64"/>
    <w:rsid w:val="00261108"/>
    <w:rsid w:val="00261200"/>
    <w:rsid w:val="00261920"/>
    <w:rsid w:val="00261B40"/>
    <w:rsid w:val="002621D1"/>
    <w:rsid w:val="002625A9"/>
    <w:rsid w:val="00262749"/>
    <w:rsid w:val="00262904"/>
    <w:rsid w:val="00262925"/>
    <w:rsid w:val="0026323C"/>
    <w:rsid w:val="002647FC"/>
    <w:rsid w:val="00264D25"/>
    <w:rsid w:val="002658DA"/>
    <w:rsid w:val="0026689F"/>
    <w:rsid w:val="002714DD"/>
    <w:rsid w:val="00271762"/>
    <w:rsid w:val="00272132"/>
    <w:rsid w:val="00272A04"/>
    <w:rsid w:val="0027381B"/>
    <w:rsid w:val="00273E71"/>
    <w:rsid w:val="00274033"/>
    <w:rsid w:val="00274D56"/>
    <w:rsid w:val="00274F77"/>
    <w:rsid w:val="002753BA"/>
    <w:rsid w:val="00275613"/>
    <w:rsid w:val="00275E62"/>
    <w:rsid w:val="002762B9"/>
    <w:rsid w:val="00276582"/>
    <w:rsid w:val="00277267"/>
    <w:rsid w:val="00277EE8"/>
    <w:rsid w:val="002816EB"/>
    <w:rsid w:val="002822F6"/>
    <w:rsid w:val="00282380"/>
    <w:rsid w:val="002835A1"/>
    <w:rsid w:val="00283959"/>
    <w:rsid w:val="00284C8F"/>
    <w:rsid w:val="00285ABA"/>
    <w:rsid w:val="002873D2"/>
    <w:rsid w:val="002900AD"/>
    <w:rsid w:val="00290806"/>
    <w:rsid w:val="00293305"/>
    <w:rsid w:val="002933DC"/>
    <w:rsid w:val="00294CD3"/>
    <w:rsid w:val="00297768"/>
    <w:rsid w:val="002A1703"/>
    <w:rsid w:val="002A1B88"/>
    <w:rsid w:val="002A1E3A"/>
    <w:rsid w:val="002A22C7"/>
    <w:rsid w:val="002A24D5"/>
    <w:rsid w:val="002A361F"/>
    <w:rsid w:val="002A455D"/>
    <w:rsid w:val="002A4B11"/>
    <w:rsid w:val="002A51C5"/>
    <w:rsid w:val="002A6DEA"/>
    <w:rsid w:val="002A706C"/>
    <w:rsid w:val="002B0576"/>
    <w:rsid w:val="002B0A87"/>
    <w:rsid w:val="002B0B72"/>
    <w:rsid w:val="002B0DC2"/>
    <w:rsid w:val="002B1266"/>
    <w:rsid w:val="002B1D63"/>
    <w:rsid w:val="002B230B"/>
    <w:rsid w:val="002B29B8"/>
    <w:rsid w:val="002B2C1C"/>
    <w:rsid w:val="002B2D1F"/>
    <w:rsid w:val="002B3147"/>
    <w:rsid w:val="002B3D68"/>
    <w:rsid w:val="002B66EB"/>
    <w:rsid w:val="002B7772"/>
    <w:rsid w:val="002B7E3D"/>
    <w:rsid w:val="002C0A47"/>
    <w:rsid w:val="002C0F3B"/>
    <w:rsid w:val="002C161C"/>
    <w:rsid w:val="002C29D4"/>
    <w:rsid w:val="002C35E7"/>
    <w:rsid w:val="002C4C17"/>
    <w:rsid w:val="002C5522"/>
    <w:rsid w:val="002C6E99"/>
    <w:rsid w:val="002C7715"/>
    <w:rsid w:val="002D01C7"/>
    <w:rsid w:val="002D109F"/>
    <w:rsid w:val="002D14C0"/>
    <w:rsid w:val="002D201A"/>
    <w:rsid w:val="002D28D4"/>
    <w:rsid w:val="002D2D06"/>
    <w:rsid w:val="002D3F3E"/>
    <w:rsid w:val="002D46D6"/>
    <w:rsid w:val="002D4D5D"/>
    <w:rsid w:val="002D6505"/>
    <w:rsid w:val="002D6683"/>
    <w:rsid w:val="002D7B4A"/>
    <w:rsid w:val="002E0253"/>
    <w:rsid w:val="002E2280"/>
    <w:rsid w:val="002E2340"/>
    <w:rsid w:val="002E263C"/>
    <w:rsid w:val="002E2A95"/>
    <w:rsid w:val="002E504E"/>
    <w:rsid w:val="002E5AFC"/>
    <w:rsid w:val="002E70B9"/>
    <w:rsid w:val="002E7A28"/>
    <w:rsid w:val="002F0849"/>
    <w:rsid w:val="002F1C3F"/>
    <w:rsid w:val="002F2032"/>
    <w:rsid w:val="002F2397"/>
    <w:rsid w:val="002F2898"/>
    <w:rsid w:val="002F3107"/>
    <w:rsid w:val="002F4C3A"/>
    <w:rsid w:val="002F4E47"/>
    <w:rsid w:val="002F4FD3"/>
    <w:rsid w:val="002F63A2"/>
    <w:rsid w:val="002F6834"/>
    <w:rsid w:val="002F6E85"/>
    <w:rsid w:val="00300D03"/>
    <w:rsid w:val="003015C2"/>
    <w:rsid w:val="00301B4C"/>
    <w:rsid w:val="00303331"/>
    <w:rsid w:val="003039F6"/>
    <w:rsid w:val="003045ED"/>
    <w:rsid w:val="00306233"/>
    <w:rsid w:val="003118FA"/>
    <w:rsid w:val="00311964"/>
    <w:rsid w:val="00311FA2"/>
    <w:rsid w:val="00312B6D"/>
    <w:rsid w:val="003136B4"/>
    <w:rsid w:val="00314FBE"/>
    <w:rsid w:val="00315144"/>
    <w:rsid w:val="00316136"/>
    <w:rsid w:val="003173C4"/>
    <w:rsid w:val="0032074F"/>
    <w:rsid w:val="00320C3C"/>
    <w:rsid w:val="003212DD"/>
    <w:rsid w:val="00321A10"/>
    <w:rsid w:val="00321C54"/>
    <w:rsid w:val="003220B8"/>
    <w:rsid w:val="0032241C"/>
    <w:rsid w:val="00322C10"/>
    <w:rsid w:val="00323843"/>
    <w:rsid w:val="00324758"/>
    <w:rsid w:val="00330006"/>
    <w:rsid w:val="00330AB1"/>
    <w:rsid w:val="00331F3C"/>
    <w:rsid w:val="00332563"/>
    <w:rsid w:val="003327C7"/>
    <w:rsid w:val="00332E98"/>
    <w:rsid w:val="003330E4"/>
    <w:rsid w:val="0033327E"/>
    <w:rsid w:val="00333DD6"/>
    <w:rsid w:val="003341F0"/>
    <w:rsid w:val="003348FA"/>
    <w:rsid w:val="0033571F"/>
    <w:rsid w:val="0033734E"/>
    <w:rsid w:val="003405CE"/>
    <w:rsid w:val="00340C60"/>
    <w:rsid w:val="003414A8"/>
    <w:rsid w:val="003414AE"/>
    <w:rsid w:val="00341FBC"/>
    <w:rsid w:val="0034219F"/>
    <w:rsid w:val="003438DE"/>
    <w:rsid w:val="00343907"/>
    <w:rsid w:val="003446C3"/>
    <w:rsid w:val="00345E4B"/>
    <w:rsid w:val="0034644D"/>
    <w:rsid w:val="003474CF"/>
    <w:rsid w:val="00347AD0"/>
    <w:rsid w:val="00347F77"/>
    <w:rsid w:val="0035011F"/>
    <w:rsid w:val="003501CC"/>
    <w:rsid w:val="003508AD"/>
    <w:rsid w:val="00351471"/>
    <w:rsid w:val="0035163D"/>
    <w:rsid w:val="0035212F"/>
    <w:rsid w:val="003544C3"/>
    <w:rsid w:val="00354635"/>
    <w:rsid w:val="0035534A"/>
    <w:rsid w:val="00355D5A"/>
    <w:rsid w:val="0035672D"/>
    <w:rsid w:val="003569B2"/>
    <w:rsid w:val="0036370B"/>
    <w:rsid w:val="00363950"/>
    <w:rsid w:val="00364213"/>
    <w:rsid w:val="0036595E"/>
    <w:rsid w:val="00365A8D"/>
    <w:rsid w:val="00365C99"/>
    <w:rsid w:val="00365EDA"/>
    <w:rsid w:val="00367D0B"/>
    <w:rsid w:val="00370CFE"/>
    <w:rsid w:val="00370F1D"/>
    <w:rsid w:val="00373060"/>
    <w:rsid w:val="00377CCA"/>
    <w:rsid w:val="0038056F"/>
    <w:rsid w:val="003806A1"/>
    <w:rsid w:val="00381B7E"/>
    <w:rsid w:val="00381CC0"/>
    <w:rsid w:val="00382C9A"/>
    <w:rsid w:val="00385AA6"/>
    <w:rsid w:val="003865C6"/>
    <w:rsid w:val="0038700A"/>
    <w:rsid w:val="00387B11"/>
    <w:rsid w:val="00391B45"/>
    <w:rsid w:val="00392EB6"/>
    <w:rsid w:val="00393F11"/>
    <w:rsid w:val="00394219"/>
    <w:rsid w:val="00395DC3"/>
    <w:rsid w:val="00396388"/>
    <w:rsid w:val="00396434"/>
    <w:rsid w:val="00396674"/>
    <w:rsid w:val="00396AD7"/>
    <w:rsid w:val="00396D8A"/>
    <w:rsid w:val="00397D6C"/>
    <w:rsid w:val="003A026B"/>
    <w:rsid w:val="003A1287"/>
    <w:rsid w:val="003A1374"/>
    <w:rsid w:val="003A1BEF"/>
    <w:rsid w:val="003A1CEB"/>
    <w:rsid w:val="003A288A"/>
    <w:rsid w:val="003A3F40"/>
    <w:rsid w:val="003A44F5"/>
    <w:rsid w:val="003A4B27"/>
    <w:rsid w:val="003A5903"/>
    <w:rsid w:val="003A62EA"/>
    <w:rsid w:val="003A6787"/>
    <w:rsid w:val="003A6E8B"/>
    <w:rsid w:val="003A71E1"/>
    <w:rsid w:val="003B3013"/>
    <w:rsid w:val="003B3639"/>
    <w:rsid w:val="003B37AF"/>
    <w:rsid w:val="003B442D"/>
    <w:rsid w:val="003B69F4"/>
    <w:rsid w:val="003B6E83"/>
    <w:rsid w:val="003B7693"/>
    <w:rsid w:val="003B7873"/>
    <w:rsid w:val="003C0540"/>
    <w:rsid w:val="003C0584"/>
    <w:rsid w:val="003C09A0"/>
    <w:rsid w:val="003C0AB9"/>
    <w:rsid w:val="003C1951"/>
    <w:rsid w:val="003C1DEB"/>
    <w:rsid w:val="003C3534"/>
    <w:rsid w:val="003C3ECC"/>
    <w:rsid w:val="003C4864"/>
    <w:rsid w:val="003C49E1"/>
    <w:rsid w:val="003C55FA"/>
    <w:rsid w:val="003C561C"/>
    <w:rsid w:val="003C5731"/>
    <w:rsid w:val="003C7148"/>
    <w:rsid w:val="003C7548"/>
    <w:rsid w:val="003C7ACE"/>
    <w:rsid w:val="003D0AD3"/>
    <w:rsid w:val="003D13B4"/>
    <w:rsid w:val="003D1B44"/>
    <w:rsid w:val="003D31A0"/>
    <w:rsid w:val="003D4C2E"/>
    <w:rsid w:val="003D663E"/>
    <w:rsid w:val="003D76EF"/>
    <w:rsid w:val="003E05D2"/>
    <w:rsid w:val="003E06FE"/>
    <w:rsid w:val="003E07C4"/>
    <w:rsid w:val="003E15AF"/>
    <w:rsid w:val="003E176F"/>
    <w:rsid w:val="003E1A46"/>
    <w:rsid w:val="003E28DE"/>
    <w:rsid w:val="003E4009"/>
    <w:rsid w:val="003E4BF1"/>
    <w:rsid w:val="003E552A"/>
    <w:rsid w:val="003E6927"/>
    <w:rsid w:val="003E7790"/>
    <w:rsid w:val="003F21FA"/>
    <w:rsid w:val="003F30C0"/>
    <w:rsid w:val="003F4F72"/>
    <w:rsid w:val="003F61AA"/>
    <w:rsid w:val="0040083C"/>
    <w:rsid w:val="004011AF"/>
    <w:rsid w:val="00401BB5"/>
    <w:rsid w:val="004021A9"/>
    <w:rsid w:val="00403156"/>
    <w:rsid w:val="0040377F"/>
    <w:rsid w:val="00403C11"/>
    <w:rsid w:val="00404525"/>
    <w:rsid w:val="00406D19"/>
    <w:rsid w:val="004071A8"/>
    <w:rsid w:val="0040786F"/>
    <w:rsid w:val="00407D8A"/>
    <w:rsid w:val="00410094"/>
    <w:rsid w:val="00412478"/>
    <w:rsid w:val="00412A30"/>
    <w:rsid w:val="00412C76"/>
    <w:rsid w:val="00413E37"/>
    <w:rsid w:val="00413F20"/>
    <w:rsid w:val="0041780F"/>
    <w:rsid w:val="00417DA3"/>
    <w:rsid w:val="004213EA"/>
    <w:rsid w:val="0042182B"/>
    <w:rsid w:val="004222DE"/>
    <w:rsid w:val="0042493C"/>
    <w:rsid w:val="0042495C"/>
    <w:rsid w:val="00424A10"/>
    <w:rsid w:val="00427882"/>
    <w:rsid w:val="00427E9A"/>
    <w:rsid w:val="0043089D"/>
    <w:rsid w:val="00432359"/>
    <w:rsid w:val="00433F24"/>
    <w:rsid w:val="00436A0E"/>
    <w:rsid w:val="0043720D"/>
    <w:rsid w:val="00437978"/>
    <w:rsid w:val="00437FAA"/>
    <w:rsid w:val="00440956"/>
    <w:rsid w:val="00440AE3"/>
    <w:rsid w:val="00440F15"/>
    <w:rsid w:val="004410A0"/>
    <w:rsid w:val="0044111A"/>
    <w:rsid w:val="004436CC"/>
    <w:rsid w:val="0044637C"/>
    <w:rsid w:val="00446E16"/>
    <w:rsid w:val="004474FF"/>
    <w:rsid w:val="00450014"/>
    <w:rsid w:val="004506BC"/>
    <w:rsid w:val="00450B52"/>
    <w:rsid w:val="0045269D"/>
    <w:rsid w:val="00453177"/>
    <w:rsid w:val="004531C5"/>
    <w:rsid w:val="00455B35"/>
    <w:rsid w:val="00456170"/>
    <w:rsid w:val="004568F8"/>
    <w:rsid w:val="00456921"/>
    <w:rsid w:val="00456F36"/>
    <w:rsid w:val="00457428"/>
    <w:rsid w:val="0046112D"/>
    <w:rsid w:val="00461BE4"/>
    <w:rsid w:val="0046207F"/>
    <w:rsid w:val="0046599D"/>
    <w:rsid w:val="00466105"/>
    <w:rsid w:val="0046624C"/>
    <w:rsid w:val="0046624F"/>
    <w:rsid w:val="004668B8"/>
    <w:rsid w:val="00466B01"/>
    <w:rsid w:val="0047046E"/>
    <w:rsid w:val="004705D2"/>
    <w:rsid w:val="00470729"/>
    <w:rsid w:val="00470CF2"/>
    <w:rsid w:val="00471F3C"/>
    <w:rsid w:val="0047298B"/>
    <w:rsid w:val="00473F54"/>
    <w:rsid w:val="004741D9"/>
    <w:rsid w:val="004761FB"/>
    <w:rsid w:val="00477295"/>
    <w:rsid w:val="004779AB"/>
    <w:rsid w:val="004831D0"/>
    <w:rsid w:val="00483296"/>
    <w:rsid w:val="004837BC"/>
    <w:rsid w:val="0048484C"/>
    <w:rsid w:val="0048510E"/>
    <w:rsid w:val="004855A2"/>
    <w:rsid w:val="0048568B"/>
    <w:rsid w:val="00485968"/>
    <w:rsid w:val="00486991"/>
    <w:rsid w:val="00486CA6"/>
    <w:rsid w:val="00486FBB"/>
    <w:rsid w:val="0048746C"/>
    <w:rsid w:val="0048770D"/>
    <w:rsid w:val="00487AC7"/>
    <w:rsid w:val="0049105C"/>
    <w:rsid w:val="00493152"/>
    <w:rsid w:val="004938F8"/>
    <w:rsid w:val="004941E2"/>
    <w:rsid w:val="00494B15"/>
    <w:rsid w:val="00495065"/>
    <w:rsid w:val="004959CE"/>
    <w:rsid w:val="00495E82"/>
    <w:rsid w:val="00495ECF"/>
    <w:rsid w:val="0049725D"/>
    <w:rsid w:val="00497450"/>
    <w:rsid w:val="00497E2B"/>
    <w:rsid w:val="004A0999"/>
    <w:rsid w:val="004A20B2"/>
    <w:rsid w:val="004A2AD8"/>
    <w:rsid w:val="004A3286"/>
    <w:rsid w:val="004A36D8"/>
    <w:rsid w:val="004A4AA6"/>
    <w:rsid w:val="004A4CA0"/>
    <w:rsid w:val="004A589F"/>
    <w:rsid w:val="004A64AD"/>
    <w:rsid w:val="004A7344"/>
    <w:rsid w:val="004A7F1C"/>
    <w:rsid w:val="004B04DD"/>
    <w:rsid w:val="004B0FE2"/>
    <w:rsid w:val="004B2488"/>
    <w:rsid w:val="004B47B7"/>
    <w:rsid w:val="004B734A"/>
    <w:rsid w:val="004C0904"/>
    <w:rsid w:val="004C0D5C"/>
    <w:rsid w:val="004C12C9"/>
    <w:rsid w:val="004C2303"/>
    <w:rsid w:val="004C233F"/>
    <w:rsid w:val="004C2491"/>
    <w:rsid w:val="004C3548"/>
    <w:rsid w:val="004C4D4F"/>
    <w:rsid w:val="004C54A6"/>
    <w:rsid w:val="004C5B02"/>
    <w:rsid w:val="004C68AF"/>
    <w:rsid w:val="004C6BE9"/>
    <w:rsid w:val="004C7304"/>
    <w:rsid w:val="004C7B66"/>
    <w:rsid w:val="004D0131"/>
    <w:rsid w:val="004D12C6"/>
    <w:rsid w:val="004D160E"/>
    <w:rsid w:val="004D2A9B"/>
    <w:rsid w:val="004D2AC2"/>
    <w:rsid w:val="004D32E6"/>
    <w:rsid w:val="004D4CBF"/>
    <w:rsid w:val="004D52BE"/>
    <w:rsid w:val="004D5E72"/>
    <w:rsid w:val="004D736D"/>
    <w:rsid w:val="004D7BAA"/>
    <w:rsid w:val="004E05D1"/>
    <w:rsid w:val="004E07F9"/>
    <w:rsid w:val="004E15F4"/>
    <w:rsid w:val="004E2054"/>
    <w:rsid w:val="004E207C"/>
    <w:rsid w:val="004E3513"/>
    <w:rsid w:val="004E421A"/>
    <w:rsid w:val="004E5954"/>
    <w:rsid w:val="004E5A62"/>
    <w:rsid w:val="004E6EEB"/>
    <w:rsid w:val="004E6FAC"/>
    <w:rsid w:val="004E705A"/>
    <w:rsid w:val="004F12B2"/>
    <w:rsid w:val="004F12E5"/>
    <w:rsid w:val="004F1B7A"/>
    <w:rsid w:val="004F1DE2"/>
    <w:rsid w:val="004F3316"/>
    <w:rsid w:val="004F5984"/>
    <w:rsid w:val="004F7748"/>
    <w:rsid w:val="005028A8"/>
    <w:rsid w:val="00502907"/>
    <w:rsid w:val="00502BD6"/>
    <w:rsid w:val="0050373E"/>
    <w:rsid w:val="00504E4F"/>
    <w:rsid w:val="00505045"/>
    <w:rsid w:val="005058B5"/>
    <w:rsid w:val="00505B04"/>
    <w:rsid w:val="0050642A"/>
    <w:rsid w:val="0050666E"/>
    <w:rsid w:val="0050681E"/>
    <w:rsid w:val="00506E25"/>
    <w:rsid w:val="0051051B"/>
    <w:rsid w:val="00511343"/>
    <w:rsid w:val="00511BD1"/>
    <w:rsid w:val="00511D9D"/>
    <w:rsid w:val="00513917"/>
    <w:rsid w:val="00513D4E"/>
    <w:rsid w:val="005144B0"/>
    <w:rsid w:val="00516AA9"/>
    <w:rsid w:val="0051740F"/>
    <w:rsid w:val="00517D28"/>
    <w:rsid w:val="0052006B"/>
    <w:rsid w:val="0052098F"/>
    <w:rsid w:val="00520BD7"/>
    <w:rsid w:val="00521DCF"/>
    <w:rsid w:val="0052241D"/>
    <w:rsid w:val="00522CCF"/>
    <w:rsid w:val="005239E8"/>
    <w:rsid w:val="00524717"/>
    <w:rsid w:val="00524A44"/>
    <w:rsid w:val="00527FA8"/>
    <w:rsid w:val="005313C2"/>
    <w:rsid w:val="005322CB"/>
    <w:rsid w:val="00533467"/>
    <w:rsid w:val="00533521"/>
    <w:rsid w:val="00534F44"/>
    <w:rsid w:val="005351DE"/>
    <w:rsid w:val="005354F9"/>
    <w:rsid w:val="00535662"/>
    <w:rsid w:val="005363FC"/>
    <w:rsid w:val="00536448"/>
    <w:rsid w:val="005365D3"/>
    <w:rsid w:val="005368CE"/>
    <w:rsid w:val="00537936"/>
    <w:rsid w:val="00537CE7"/>
    <w:rsid w:val="00541642"/>
    <w:rsid w:val="00541C60"/>
    <w:rsid w:val="005420AC"/>
    <w:rsid w:val="00544E9C"/>
    <w:rsid w:val="00545DBE"/>
    <w:rsid w:val="005463D2"/>
    <w:rsid w:val="00547417"/>
    <w:rsid w:val="0055032A"/>
    <w:rsid w:val="00550A31"/>
    <w:rsid w:val="00552FEA"/>
    <w:rsid w:val="0055340A"/>
    <w:rsid w:val="005552D1"/>
    <w:rsid w:val="00555AE6"/>
    <w:rsid w:val="00560028"/>
    <w:rsid w:val="00560476"/>
    <w:rsid w:val="00560ADB"/>
    <w:rsid w:val="00560D66"/>
    <w:rsid w:val="005613C7"/>
    <w:rsid w:val="005619E5"/>
    <w:rsid w:val="00561E69"/>
    <w:rsid w:val="0056204C"/>
    <w:rsid w:val="00562A79"/>
    <w:rsid w:val="00563280"/>
    <w:rsid w:val="00564CB4"/>
    <w:rsid w:val="00564D85"/>
    <w:rsid w:val="005700BF"/>
    <w:rsid w:val="005809B2"/>
    <w:rsid w:val="00580A23"/>
    <w:rsid w:val="005815D5"/>
    <w:rsid w:val="00582114"/>
    <w:rsid w:val="00583411"/>
    <w:rsid w:val="00583492"/>
    <w:rsid w:val="00583B5D"/>
    <w:rsid w:val="00583F2F"/>
    <w:rsid w:val="00584FF2"/>
    <w:rsid w:val="00585547"/>
    <w:rsid w:val="00587448"/>
    <w:rsid w:val="0059017B"/>
    <w:rsid w:val="00590E1A"/>
    <w:rsid w:val="005935E8"/>
    <w:rsid w:val="00594904"/>
    <w:rsid w:val="0059500B"/>
    <w:rsid w:val="0059569E"/>
    <w:rsid w:val="0059615C"/>
    <w:rsid w:val="0059674C"/>
    <w:rsid w:val="00596FDB"/>
    <w:rsid w:val="00597F1A"/>
    <w:rsid w:val="005A0ADB"/>
    <w:rsid w:val="005A0B27"/>
    <w:rsid w:val="005A0BD9"/>
    <w:rsid w:val="005A1DBC"/>
    <w:rsid w:val="005A2B5E"/>
    <w:rsid w:val="005A43CA"/>
    <w:rsid w:val="005A4D60"/>
    <w:rsid w:val="005A50FC"/>
    <w:rsid w:val="005A7BE5"/>
    <w:rsid w:val="005B2553"/>
    <w:rsid w:val="005B5839"/>
    <w:rsid w:val="005B644F"/>
    <w:rsid w:val="005B6F7F"/>
    <w:rsid w:val="005B7142"/>
    <w:rsid w:val="005C0666"/>
    <w:rsid w:val="005C1140"/>
    <w:rsid w:val="005C131C"/>
    <w:rsid w:val="005C26B2"/>
    <w:rsid w:val="005C367B"/>
    <w:rsid w:val="005C7FEF"/>
    <w:rsid w:val="005D03B1"/>
    <w:rsid w:val="005D1B96"/>
    <w:rsid w:val="005D1E40"/>
    <w:rsid w:val="005D34E8"/>
    <w:rsid w:val="005D4514"/>
    <w:rsid w:val="005D51C0"/>
    <w:rsid w:val="005D53E9"/>
    <w:rsid w:val="005D6359"/>
    <w:rsid w:val="005D66BA"/>
    <w:rsid w:val="005D6746"/>
    <w:rsid w:val="005D6CED"/>
    <w:rsid w:val="005D6F9E"/>
    <w:rsid w:val="005E1CCB"/>
    <w:rsid w:val="005E201B"/>
    <w:rsid w:val="005E20BE"/>
    <w:rsid w:val="005E39AB"/>
    <w:rsid w:val="005E4DD0"/>
    <w:rsid w:val="005E6CAC"/>
    <w:rsid w:val="005E6CEE"/>
    <w:rsid w:val="005E6D59"/>
    <w:rsid w:val="005E7236"/>
    <w:rsid w:val="005E770A"/>
    <w:rsid w:val="005F0555"/>
    <w:rsid w:val="005F1186"/>
    <w:rsid w:val="005F1EA3"/>
    <w:rsid w:val="005F306B"/>
    <w:rsid w:val="005F591C"/>
    <w:rsid w:val="005F6DCF"/>
    <w:rsid w:val="005F710C"/>
    <w:rsid w:val="005F7379"/>
    <w:rsid w:val="005F752D"/>
    <w:rsid w:val="005F76E7"/>
    <w:rsid w:val="006001D4"/>
    <w:rsid w:val="0060055F"/>
    <w:rsid w:val="00600988"/>
    <w:rsid w:val="00600AFD"/>
    <w:rsid w:val="00600DB1"/>
    <w:rsid w:val="006010D2"/>
    <w:rsid w:val="00602505"/>
    <w:rsid w:val="00602E31"/>
    <w:rsid w:val="006032D0"/>
    <w:rsid w:val="006035C3"/>
    <w:rsid w:val="00603F66"/>
    <w:rsid w:val="00604010"/>
    <w:rsid w:val="00604601"/>
    <w:rsid w:val="00604FEC"/>
    <w:rsid w:val="006054A0"/>
    <w:rsid w:val="006059E4"/>
    <w:rsid w:val="00606AD4"/>
    <w:rsid w:val="006105FC"/>
    <w:rsid w:val="00611612"/>
    <w:rsid w:val="00611FBE"/>
    <w:rsid w:val="00613F99"/>
    <w:rsid w:val="00614854"/>
    <w:rsid w:val="00614BF4"/>
    <w:rsid w:val="00615E37"/>
    <w:rsid w:val="00616FDF"/>
    <w:rsid w:val="00617FD3"/>
    <w:rsid w:val="006225E8"/>
    <w:rsid w:val="00622DB9"/>
    <w:rsid w:val="00622F29"/>
    <w:rsid w:val="0062385C"/>
    <w:rsid w:val="0062516B"/>
    <w:rsid w:val="00625AE3"/>
    <w:rsid w:val="0062752F"/>
    <w:rsid w:val="00630CB3"/>
    <w:rsid w:val="006311F3"/>
    <w:rsid w:val="00632C27"/>
    <w:rsid w:val="00636F5D"/>
    <w:rsid w:val="00637789"/>
    <w:rsid w:val="00637D72"/>
    <w:rsid w:val="00640845"/>
    <w:rsid w:val="00640E5E"/>
    <w:rsid w:val="00640FAB"/>
    <w:rsid w:val="00642E69"/>
    <w:rsid w:val="00644CAC"/>
    <w:rsid w:val="00646377"/>
    <w:rsid w:val="00646837"/>
    <w:rsid w:val="006472A5"/>
    <w:rsid w:val="00647EA3"/>
    <w:rsid w:val="00650827"/>
    <w:rsid w:val="00650F98"/>
    <w:rsid w:val="0065283F"/>
    <w:rsid w:val="006533BB"/>
    <w:rsid w:val="00653C20"/>
    <w:rsid w:val="00654C38"/>
    <w:rsid w:val="00654FB9"/>
    <w:rsid w:val="00656C20"/>
    <w:rsid w:val="006603F6"/>
    <w:rsid w:val="00660DF6"/>
    <w:rsid w:val="006623A0"/>
    <w:rsid w:val="0066349B"/>
    <w:rsid w:val="0066355F"/>
    <w:rsid w:val="00664CE5"/>
    <w:rsid w:val="00666712"/>
    <w:rsid w:val="00666E31"/>
    <w:rsid w:val="00667657"/>
    <w:rsid w:val="00670654"/>
    <w:rsid w:val="00670D35"/>
    <w:rsid w:val="00672BB6"/>
    <w:rsid w:val="0067590B"/>
    <w:rsid w:val="00676BFD"/>
    <w:rsid w:val="00680A48"/>
    <w:rsid w:val="00681FA0"/>
    <w:rsid w:val="006824A4"/>
    <w:rsid w:val="00683899"/>
    <w:rsid w:val="0068425F"/>
    <w:rsid w:val="00684C5A"/>
    <w:rsid w:val="00685826"/>
    <w:rsid w:val="00685CFF"/>
    <w:rsid w:val="006864BC"/>
    <w:rsid w:val="0068657F"/>
    <w:rsid w:val="00687214"/>
    <w:rsid w:val="00687F16"/>
    <w:rsid w:val="00691078"/>
    <w:rsid w:val="00692271"/>
    <w:rsid w:val="00692F5B"/>
    <w:rsid w:val="006931FD"/>
    <w:rsid w:val="006938CD"/>
    <w:rsid w:val="00693D0A"/>
    <w:rsid w:val="00694B43"/>
    <w:rsid w:val="00694F6E"/>
    <w:rsid w:val="00695630"/>
    <w:rsid w:val="00696EB2"/>
    <w:rsid w:val="00696F79"/>
    <w:rsid w:val="0069731F"/>
    <w:rsid w:val="006979D5"/>
    <w:rsid w:val="00697B80"/>
    <w:rsid w:val="006A0C06"/>
    <w:rsid w:val="006A160D"/>
    <w:rsid w:val="006A17B3"/>
    <w:rsid w:val="006A2081"/>
    <w:rsid w:val="006A34F7"/>
    <w:rsid w:val="006A3A79"/>
    <w:rsid w:val="006A3F4D"/>
    <w:rsid w:val="006A40CA"/>
    <w:rsid w:val="006A42E1"/>
    <w:rsid w:val="006A7C48"/>
    <w:rsid w:val="006B3327"/>
    <w:rsid w:val="006B6036"/>
    <w:rsid w:val="006B68BE"/>
    <w:rsid w:val="006B7215"/>
    <w:rsid w:val="006B7930"/>
    <w:rsid w:val="006B7993"/>
    <w:rsid w:val="006C07AF"/>
    <w:rsid w:val="006C0BA1"/>
    <w:rsid w:val="006C0DBA"/>
    <w:rsid w:val="006C175B"/>
    <w:rsid w:val="006C1D6B"/>
    <w:rsid w:val="006C1FA9"/>
    <w:rsid w:val="006C3015"/>
    <w:rsid w:val="006C4588"/>
    <w:rsid w:val="006C4AB9"/>
    <w:rsid w:val="006C51DD"/>
    <w:rsid w:val="006C53B1"/>
    <w:rsid w:val="006C550C"/>
    <w:rsid w:val="006C5B5C"/>
    <w:rsid w:val="006C6356"/>
    <w:rsid w:val="006C6545"/>
    <w:rsid w:val="006C73CD"/>
    <w:rsid w:val="006C7769"/>
    <w:rsid w:val="006C7E10"/>
    <w:rsid w:val="006C7E86"/>
    <w:rsid w:val="006D3097"/>
    <w:rsid w:val="006D3C19"/>
    <w:rsid w:val="006D3EB2"/>
    <w:rsid w:val="006D43BD"/>
    <w:rsid w:val="006D450F"/>
    <w:rsid w:val="006D4935"/>
    <w:rsid w:val="006D5046"/>
    <w:rsid w:val="006D524A"/>
    <w:rsid w:val="006D5555"/>
    <w:rsid w:val="006D6B40"/>
    <w:rsid w:val="006D6F9A"/>
    <w:rsid w:val="006D75F6"/>
    <w:rsid w:val="006E238E"/>
    <w:rsid w:val="006E25BB"/>
    <w:rsid w:val="006E3B50"/>
    <w:rsid w:val="006E425B"/>
    <w:rsid w:val="006E474D"/>
    <w:rsid w:val="006F038C"/>
    <w:rsid w:val="006F04DD"/>
    <w:rsid w:val="006F0645"/>
    <w:rsid w:val="006F0801"/>
    <w:rsid w:val="006F0AA6"/>
    <w:rsid w:val="006F0CCB"/>
    <w:rsid w:val="006F0EB6"/>
    <w:rsid w:val="006F386C"/>
    <w:rsid w:val="006F41E2"/>
    <w:rsid w:val="006F7374"/>
    <w:rsid w:val="00704061"/>
    <w:rsid w:val="00704488"/>
    <w:rsid w:val="00705D51"/>
    <w:rsid w:val="0070609E"/>
    <w:rsid w:val="00707D64"/>
    <w:rsid w:val="0071201A"/>
    <w:rsid w:val="0071356F"/>
    <w:rsid w:val="00714995"/>
    <w:rsid w:val="0072012E"/>
    <w:rsid w:val="0072149E"/>
    <w:rsid w:val="00722EE3"/>
    <w:rsid w:val="007241D9"/>
    <w:rsid w:val="0072421B"/>
    <w:rsid w:val="007269D7"/>
    <w:rsid w:val="007269E1"/>
    <w:rsid w:val="00726D5B"/>
    <w:rsid w:val="00730C6F"/>
    <w:rsid w:val="00730CC1"/>
    <w:rsid w:val="007314DE"/>
    <w:rsid w:val="00731F0C"/>
    <w:rsid w:val="00734A59"/>
    <w:rsid w:val="00742333"/>
    <w:rsid w:val="007430F8"/>
    <w:rsid w:val="007434BC"/>
    <w:rsid w:val="0074365F"/>
    <w:rsid w:val="0074478B"/>
    <w:rsid w:val="00744D74"/>
    <w:rsid w:val="00745CE8"/>
    <w:rsid w:val="007462C3"/>
    <w:rsid w:val="0074631E"/>
    <w:rsid w:val="007464C7"/>
    <w:rsid w:val="00747337"/>
    <w:rsid w:val="0074784F"/>
    <w:rsid w:val="007479D0"/>
    <w:rsid w:val="00752996"/>
    <w:rsid w:val="00755F9F"/>
    <w:rsid w:val="00756101"/>
    <w:rsid w:val="00757247"/>
    <w:rsid w:val="0075738C"/>
    <w:rsid w:val="007579B9"/>
    <w:rsid w:val="00760CA8"/>
    <w:rsid w:val="00760E5B"/>
    <w:rsid w:val="007635CD"/>
    <w:rsid w:val="007645E9"/>
    <w:rsid w:val="007647EB"/>
    <w:rsid w:val="0076559A"/>
    <w:rsid w:val="00765831"/>
    <w:rsid w:val="00765A7E"/>
    <w:rsid w:val="0076667A"/>
    <w:rsid w:val="00767E0C"/>
    <w:rsid w:val="007702D5"/>
    <w:rsid w:val="00770F29"/>
    <w:rsid w:val="00770FCB"/>
    <w:rsid w:val="007724DE"/>
    <w:rsid w:val="0077265C"/>
    <w:rsid w:val="0077375C"/>
    <w:rsid w:val="00774981"/>
    <w:rsid w:val="00777539"/>
    <w:rsid w:val="00777902"/>
    <w:rsid w:val="00777BB1"/>
    <w:rsid w:val="00777D20"/>
    <w:rsid w:val="00780078"/>
    <w:rsid w:val="007809D0"/>
    <w:rsid w:val="00780A03"/>
    <w:rsid w:val="00780E97"/>
    <w:rsid w:val="00780ED0"/>
    <w:rsid w:val="0078158B"/>
    <w:rsid w:val="00781A2F"/>
    <w:rsid w:val="00782317"/>
    <w:rsid w:val="00784701"/>
    <w:rsid w:val="00784D4C"/>
    <w:rsid w:val="0078533F"/>
    <w:rsid w:val="007860E3"/>
    <w:rsid w:val="0078638B"/>
    <w:rsid w:val="0078657A"/>
    <w:rsid w:val="00787B74"/>
    <w:rsid w:val="00790766"/>
    <w:rsid w:val="00790921"/>
    <w:rsid w:val="00791224"/>
    <w:rsid w:val="0079235A"/>
    <w:rsid w:val="007928F9"/>
    <w:rsid w:val="00792B0E"/>
    <w:rsid w:val="00792FB2"/>
    <w:rsid w:val="00794573"/>
    <w:rsid w:val="00794F1C"/>
    <w:rsid w:val="00795056"/>
    <w:rsid w:val="007950CC"/>
    <w:rsid w:val="007A0EDD"/>
    <w:rsid w:val="007A109F"/>
    <w:rsid w:val="007A10AB"/>
    <w:rsid w:val="007A3702"/>
    <w:rsid w:val="007A38B8"/>
    <w:rsid w:val="007A46BC"/>
    <w:rsid w:val="007A5D8A"/>
    <w:rsid w:val="007A670B"/>
    <w:rsid w:val="007A7BD8"/>
    <w:rsid w:val="007B0CE0"/>
    <w:rsid w:val="007B1B84"/>
    <w:rsid w:val="007B2796"/>
    <w:rsid w:val="007B28EF"/>
    <w:rsid w:val="007B2AF9"/>
    <w:rsid w:val="007B3270"/>
    <w:rsid w:val="007B50C0"/>
    <w:rsid w:val="007B6C91"/>
    <w:rsid w:val="007B6EBC"/>
    <w:rsid w:val="007B7083"/>
    <w:rsid w:val="007B7A71"/>
    <w:rsid w:val="007C109A"/>
    <w:rsid w:val="007C1741"/>
    <w:rsid w:val="007C1901"/>
    <w:rsid w:val="007C2E54"/>
    <w:rsid w:val="007C353B"/>
    <w:rsid w:val="007C40F1"/>
    <w:rsid w:val="007C50C6"/>
    <w:rsid w:val="007C5325"/>
    <w:rsid w:val="007C60B1"/>
    <w:rsid w:val="007C660F"/>
    <w:rsid w:val="007C71A6"/>
    <w:rsid w:val="007C74E8"/>
    <w:rsid w:val="007C79AC"/>
    <w:rsid w:val="007C7AD4"/>
    <w:rsid w:val="007D0CE3"/>
    <w:rsid w:val="007D29F4"/>
    <w:rsid w:val="007D2CD5"/>
    <w:rsid w:val="007D2DC1"/>
    <w:rsid w:val="007D3598"/>
    <w:rsid w:val="007D3C36"/>
    <w:rsid w:val="007D41E7"/>
    <w:rsid w:val="007D4221"/>
    <w:rsid w:val="007D510F"/>
    <w:rsid w:val="007D5C64"/>
    <w:rsid w:val="007D5F39"/>
    <w:rsid w:val="007D67A5"/>
    <w:rsid w:val="007D6A36"/>
    <w:rsid w:val="007D6CB0"/>
    <w:rsid w:val="007D7A5E"/>
    <w:rsid w:val="007D7EBE"/>
    <w:rsid w:val="007E0293"/>
    <w:rsid w:val="007E230B"/>
    <w:rsid w:val="007E2CC7"/>
    <w:rsid w:val="007E3A51"/>
    <w:rsid w:val="007E449E"/>
    <w:rsid w:val="007E4638"/>
    <w:rsid w:val="007E597F"/>
    <w:rsid w:val="007E6FE8"/>
    <w:rsid w:val="007F0983"/>
    <w:rsid w:val="007F1907"/>
    <w:rsid w:val="007F2577"/>
    <w:rsid w:val="007F4B0A"/>
    <w:rsid w:val="007F558C"/>
    <w:rsid w:val="007F5C6E"/>
    <w:rsid w:val="008003A4"/>
    <w:rsid w:val="00800FF8"/>
    <w:rsid w:val="00801A78"/>
    <w:rsid w:val="008034AA"/>
    <w:rsid w:val="00803A8A"/>
    <w:rsid w:val="0080446D"/>
    <w:rsid w:val="008046F1"/>
    <w:rsid w:val="0080479B"/>
    <w:rsid w:val="00804C6E"/>
    <w:rsid w:val="008057F9"/>
    <w:rsid w:val="00805C7B"/>
    <w:rsid w:val="0081378D"/>
    <w:rsid w:val="00815A82"/>
    <w:rsid w:val="00815DA3"/>
    <w:rsid w:val="00816172"/>
    <w:rsid w:val="00816FF5"/>
    <w:rsid w:val="00817E09"/>
    <w:rsid w:val="008229A3"/>
    <w:rsid w:val="0082470B"/>
    <w:rsid w:val="00824A9B"/>
    <w:rsid w:val="00824E52"/>
    <w:rsid w:val="008254C5"/>
    <w:rsid w:val="00826DFA"/>
    <w:rsid w:val="00826F54"/>
    <w:rsid w:val="00826F8C"/>
    <w:rsid w:val="00827496"/>
    <w:rsid w:val="00827E07"/>
    <w:rsid w:val="00830955"/>
    <w:rsid w:val="0083126E"/>
    <w:rsid w:val="00831EDE"/>
    <w:rsid w:val="008324B2"/>
    <w:rsid w:val="00832A4A"/>
    <w:rsid w:val="00832DAB"/>
    <w:rsid w:val="00833BEB"/>
    <w:rsid w:val="00834096"/>
    <w:rsid w:val="00836CBE"/>
    <w:rsid w:val="00836DE3"/>
    <w:rsid w:val="0083719B"/>
    <w:rsid w:val="00837E5F"/>
    <w:rsid w:val="00840548"/>
    <w:rsid w:val="008409F4"/>
    <w:rsid w:val="00843305"/>
    <w:rsid w:val="00843899"/>
    <w:rsid w:val="00843904"/>
    <w:rsid w:val="008454E7"/>
    <w:rsid w:val="0085035E"/>
    <w:rsid w:val="00851A36"/>
    <w:rsid w:val="00851F15"/>
    <w:rsid w:val="00851F51"/>
    <w:rsid w:val="00852620"/>
    <w:rsid w:val="008539DE"/>
    <w:rsid w:val="00854423"/>
    <w:rsid w:val="0085474D"/>
    <w:rsid w:val="00854A6D"/>
    <w:rsid w:val="00856096"/>
    <w:rsid w:val="00856270"/>
    <w:rsid w:val="00856412"/>
    <w:rsid w:val="008564FA"/>
    <w:rsid w:val="0086054E"/>
    <w:rsid w:val="00860C36"/>
    <w:rsid w:val="008614A3"/>
    <w:rsid w:val="0086163D"/>
    <w:rsid w:val="00862142"/>
    <w:rsid w:val="00862527"/>
    <w:rsid w:val="008629DE"/>
    <w:rsid w:val="00862CFA"/>
    <w:rsid w:val="00862D93"/>
    <w:rsid w:val="008641F6"/>
    <w:rsid w:val="00864CBB"/>
    <w:rsid w:val="00865806"/>
    <w:rsid w:val="00870B85"/>
    <w:rsid w:val="00870D9E"/>
    <w:rsid w:val="0087179B"/>
    <w:rsid w:val="00871F11"/>
    <w:rsid w:val="00873DDF"/>
    <w:rsid w:val="008749AC"/>
    <w:rsid w:val="008752F2"/>
    <w:rsid w:val="008761D7"/>
    <w:rsid w:val="00876338"/>
    <w:rsid w:val="00881B94"/>
    <w:rsid w:val="00882827"/>
    <w:rsid w:val="008836B4"/>
    <w:rsid w:val="00883DFF"/>
    <w:rsid w:val="00884525"/>
    <w:rsid w:val="0088594A"/>
    <w:rsid w:val="00887F68"/>
    <w:rsid w:val="0089148F"/>
    <w:rsid w:val="00891E12"/>
    <w:rsid w:val="00892D64"/>
    <w:rsid w:val="00893AF8"/>
    <w:rsid w:val="00893E6C"/>
    <w:rsid w:val="00895163"/>
    <w:rsid w:val="00895D2F"/>
    <w:rsid w:val="00895D6F"/>
    <w:rsid w:val="00895EE5"/>
    <w:rsid w:val="0089605D"/>
    <w:rsid w:val="0089695A"/>
    <w:rsid w:val="00896AB0"/>
    <w:rsid w:val="008A0694"/>
    <w:rsid w:val="008A1301"/>
    <w:rsid w:val="008A1E79"/>
    <w:rsid w:val="008A2BFC"/>
    <w:rsid w:val="008A3804"/>
    <w:rsid w:val="008A4F72"/>
    <w:rsid w:val="008A6E25"/>
    <w:rsid w:val="008B1497"/>
    <w:rsid w:val="008B1851"/>
    <w:rsid w:val="008B1F1F"/>
    <w:rsid w:val="008B200D"/>
    <w:rsid w:val="008B374B"/>
    <w:rsid w:val="008B49C1"/>
    <w:rsid w:val="008B4B82"/>
    <w:rsid w:val="008B5394"/>
    <w:rsid w:val="008B64BA"/>
    <w:rsid w:val="008C0CE1"/>
    <w:rsid w:val="008C2BA9"/>
    <w:rsid w:val="008C35E3"/>
    <w:rsid w:val="008C40D9"/>
    <w:rsid w:val="008C5C79"/>
    <w:rsid w:val="008C6AD7"/>
    <w:rsid w:val="008C738F"/>
    <w:rsid w:val="008C7EF4"/>
    <w:rsid w:val="008D10C2"/>
    <w:rsid w:val="008D171F"/>
    <w:rsid w:val="008D2B10"/>
    <w:rsid w:val="008D52AB"/>
    <w:rsid w:val="008D7330"/>
    <w:rsid w:val="008E1D7D"/>
    <w:rsid w:val="008E206B"/>
    <w:rsid w:val="008E341F"/>
    <w:rsid w:val="008E558E"/>
    <w:rsid w:val="008E5783"/>
    <w:rsid w:val="008E5BF4"/>
    <w:rsid w:val="008E74AD"/>
    <w:rsid w:val="008F03DE"/>
    <w:rsid w:val="008F0B54"/>
    <w:rsid w:val="008F323F"/>
    <w:rsid w:val="008F3507"/>
    <w:rsid w:val="008F3E12"/>
    <w:rsid w:val="008F47A9"/>
    <w:rsid w:val="008F4808"/>
    <w:rsid w:val="008F4C39"/>
    <w:rsid w:val="008F4E72"/>
    <w:rsid w:val="008F552F"/>
    <w:rsid w:val="008F5D04"/>
    <w:rsid w:val="008F6BF6"/>
    <w:rsid w:val="008F7D22"/>
    <w:rsid w:val="00901202"/>
    <w:rsid w:val="009028CF"/>
    <w:rsid w:val="00903128"/>
    <w:rsid w:val="0090360D"/>
    <w:rsid w:val="0090699B"/>
    <w:rsid w:val="00911A11"/>
    <w:rsid w:val="00912746"/>
    <w:rsid w:val="0091360E"/>
    <w:rsid w:val="009138D1"/>
    <w:rsid w:val="0091420E"/>
    <w:rsid w:val="00915F3C"/>
    <w:rsid w:val="0091680C"/>
    <w:rsid w:val="00916DFF"/>
    <w:rsid w:val="00916F18"/>
    <w:rsid w:val="00922222"/>
    <w:rsid w:val="00922B6F"/>
    <w:rsid w:val="00925DC7"/>
    <w:rsid w:val="00926957"/>
    <w:rsid w:val="00927BD9"/>
    <w:rsid w:val="00927D98"/>
    <w:rsid w:val="00930F11"/>
    <w:rsid w:val="00931615"/>
    <w:rsid w:val="00932D7A"/>
    <w:rsid w:val="00932DF4"/>
    <w:rsid w:val="0093626E"/>
    <w:rsid w:val="00936428"/>
    <w:rsid w:val="00940D1A"/>
    <w:rsid w:val="00941446"/>
    <w:rsid w:val="009425C1"/>
    <w:rsid w:val="009427CE"/>
    <w:rsid w:val="00943998"/>
    <w:rsid w:val="00944647"/>
    <w:rsid w:val="0094782B"/>
    <w:rsid w:val="0095347C"/>
    <w:rsid w:val="00953B92"/>
    <w:rsid w:val="00954771"/>
    <w:rsid w:val="00954DD7"/>
    <w:rsid w:val="009561A8"/>
    <w:rsid w:val="00956308"/>
    <w:rsid w:val="00957073"/>
    <w:rsid w:val="009608D5"/>
    <w:rsid w:val="00961D00"/>
    <w:rsid w:val="00962400"/>
    <w:rsid w:val="00964134"/>
    <w:rsid w:val="00964682"/>
    <w:rsid w:val="009652F4"/>
    <w:rsid w:val="0096634C"/>
    <w:rsid w:val="0097017F"/>
    <w:rsid w:val="00970B9A"/>
    <w:rsid w:val="009714F0"/>
    <w:rsid w:val="00973EAE"/>
    <w:rsid w:val="0097438C"/>
    <w:rsid w:val="00974B78"/>
    <w:rsid w:val="00975F1C"/>
    <w:rsid w:val="009761CA"/>
    <w:rsid w:val="00977217"/>
    <w:rsid w:val="00977E70"/>
    <w:rsid w:val="00980322"/>
    <w:rsid w:val="00980BAE"/>
    <w:rsid w:val="00983186"/>
    <w:rsid w:val="00983787"/>
    <w:rsid w:val="009847B2"/>
    <w:rsid w:val="009852F5"/>
    <w:rsid w:val="009872A1"/>
    <w:rsid w:val="0099072E"/>
    <w:rsid w:val="00990D01"/>
    <w:rsid w:val="00990F04"/>
    <w:rsid w:val="009926D8"/>
    <w:rsid w:val="00994C09"/>
    <w:rsid w:val="00994DB7"/>
    <w:rsid w:val="00994E65"/>
    <w:rsid w:val="009950D6"/>
    <w:rsid w:val="00996482"/>
    <w:rsid w:val="00996C0D"/>
    <w:rsid w:val="00997020"/>
    <w:rsid w:val="009A2A91"/>
    <w:rsid w:val="009A4924"/>
    <w:rsid w:val="009B06C6"/>
    <w:rsid w:val="009B0ADE"/>
    <w:rsid w:val="009B202B"/>
    <w:rsid w:val="009B2457"/>
    <w:rsid w:val="009B2A10"/>
    <w:rsid w:val="009B367D"/>
    <w:rsid w:val="009B3A0D"/>
    <w:rsid w:val="009B4C9C"/>
    <w:rsid w:val="009B519C"/>
    <w:rsid w:val="009B5720"/>
    <w:rsid w:val="009B6250"/>
    <w:rsid w:val="009B63EB"/>
    <w:rsid w:val="009B78A9"/>
    <w:rsid w:val="009C0A6E"/>
    <w:rsid w:val="009C0B0A"/>
    <w:rsid w:val="009C10B9"/>
    <w:rsid w:val="009C12E7"/>
    <w:rsid w:val="009C159C"/>
    <w:rsid w:val="009C2510"/>
    <w:rsid w:val="009C2CA3"/>
    <w:rsid w:val="009C2DFA"/>
    <w:rsid w:val="009C360B"/>
    <w:rsid w:val="009C3AA3"/>
    <w:rsid w:val="009C3D39"/>
    <w:rsid w:val="009C3DFB"/>
    <w:rsid w:val="009C54D3"/>
    <w:rsid w:val="009C6055"/>
    <w:rsid w:val="009C75CB"/>
    <w:rsid w:val="009C77B3"/>
    <w:rsid w:val="009D0D2C"/>
    <w:rsid w:val="009D11F1"/>
    <w:rsid w:val="009D2059"/>
    <w:rsid w:val="009D4682"/>
    <w:rsid w:val="009D4742"/>
    <w:rsid w:val="009D4A92"/>
    <w:rsid w:val="009D5132"/>
    <w:rsid w:val="009D53F7"/>
    <w:rsid w:val="009D5F90"/>
    <w:rsid w:val="009E069D"/>
    <w:rsid w:val="009E0E0A"/>
    <w:rsid w:val="009E1C17"/>
    <w:rsid w:val="009E279A"/>
    <w:rsid w:val="009E44FC"/>
    <w:rsid w:val="009E49F9"/>
    <w:rsid w:val="009E5E8A"/>
    <w:rsid w:val="009E62BC"/>
    <w:rsid w:val="009F24B7"/>
    <w:rsid w:val="009F293B"/>
    <w:rsid w:val="009F3A80"/>
    <w:rsid w:val="009F3B24"/>
    <w:rsid w:val="009F46AD"/>
    <w:rsid w:val="009F4BE1"/>
    <w:rsid w:val="009F5179"/>
    <w:rsid w:val="009F5E35"/>
    <w:rsid w:val="009F6D61"/>
    <w:rsid w:val="009F6E6F"/>
    <w:rsid w:val="00A00315"/>
    <w:rsid w:val="00A00D72"/>
    <w:rsid w:val="00A00E77"/>
    <w:rsid w:val="00A01365"/>
    <w:rsid w:val="00A042DA"/>
    <w:rsid w:val="00A05822"/>
    <w:rsid w:val="00A05F90"/>
    <w:rsid w:val="00A06F51"/>
    <w:rsid w:val="00A074BA"/>
    <w:rsid w:val="00A0763E"/>
    <w:rsid w:val="00A12E0C"/>
    <w:rsid w:val="00A12FB9"/>
    <w:rsid w:val="00A13AE3"/>
    <w:rsid w:val="00A152C1"/>
    <w:rsid w:val="00A16668"/>
    <w:rsid w:val="00A17645"/>
    <w:rsid w:val="00A17DBF"/>
    <w:rsid w:val="00A205EF"/>
    <w:rsid w:val="00A206F6"/>
    <w:rsid w:val="00A20AAE"/>
    <w:rsid w:val="00A230A3"/>
    <w:rsid w:val="00A23F5F"/>
    <w:rsid w:val="00A252F5"/>
    <w:rsid w:val="00A3143D"/>
    <w:rsid w:val="00A32A7F"/>
    <w:rsid w:val="00A33D01"/>
    <w:rsid w:val="00A348BC"/>
    <w:rsid w:val="00A35385"/>
    <w:rsid w:val="00A35FE0"/>
    <w:rsid w:val="00A40CE5"/>
    <w:rsid w:val="00A40CF1"/>
    <w:rsid w:val="00A41CCF"/>
    <w:rsid w:val="00A429E9"/>
    <w:rsid w:val="00A435BB"/>
    <w:rsid w:val="00A44111"/>
    <w:rsid w:val="00A441B0"/>
    <w:rsid w:val="00A44D1F"/>
    <w:rsid w:val="00A47E1F"/>
    <w:rsid w:val="00A51D47"/>
    <w:rsid w:val="00A51DC1"/>
    <w:rsid w:val="00A52582"/>
    <w:rsid w:val="00A57DA8"/>
    <w:rsid w:val="00A6053F"/>
    <w:rsid w:val="00A61277"/>
    <w:rsid w:val="00A629A8"/>
    <w:rsid w:val="00A63084"/>
    <w:rsid w:val="00A63C4C"/>
    <w:rsid w:val="00A6426B"/>
    <w:rsid w:val="00A648EF"/>
    <w:rsid w:val="00A64A98"/>
    <w:rsid w:val="00A64FC5"/>
    <w:rsid w:val="00A6527F"/>
    <w:rsid w:val="00A674E2"/>
    <w:rsid w:val="00A70E44"/>
    <w:rsid w:val="00A70EFB"/>
    <w:rsid w:val="00A71821"/>
    <w:rsid w:val="00A71896"/>
    <w:rsid w:val="00A71AF8"/>
    <w:rsid w:val="00A720B3"/>
    <w:rsid w:val="00A746C9"/>
    <w:rsid w:val="00A76085"/>
    <w:rsid w:val="00A76C9B"/>
    <w:rsid w:val="00A8228B"/>
    <w:rsid w:val="00A82D2E"/>
    <w:rsid w:val="00A8455B"/>
    <w:rsid w:val="00A845A5"/>
    <w:rsid w:val="00A84EE1"/>
    <w:rsid w:val="00A8555E"/>
    <w:rsid w:val="00A857CD"/>
    <w:rsid w:val="00A85AB3"/>
    <w:rsid w:val="00A85E61"/>
    <w:rsid w:val="00A86421"/>
    <w:rsid w:val="00A871BD"/>
    <w:rsid w:val="00A87717"/>
    <w:rsid w:val="00A900BA"/>
    <w:rsid w:val="00A905F4"/>
    <w:rsid w:val="00A906A7"/>
    <w:rsid w:val="00A91416"/>
    <w:rsid w:val="00A91957"/>
    <w:rsid w:val="00A93E40"/>
    <w:rsid w:val="00A94FF0"/>
    <w:rsid w:val="00A9571E"/>
    <w:rsid w:val="00A95728"/>
    <w:rsid w:val="00A9709E"/>
    <w:rsid w:val="00A9738F"/>
    <w:rsid w:val="00AA00FC"/>
    <w:rsid w:val="00AA09EB"/>
    <w:rsid w:val="00AA0BC9"/>
    <w:rsid w:val="00AA1300"/>
    <w:rsid w:val="00AA1F37"/>
    <w:rsid w:val="00AA23E9"/>
    <w:rsid w:val="00AA4563"/>
    <w:rsid w:val="00AA5F48"/>
    <w:rsid w:val="00AA7CA1"/>
    <w:rsid w:val="00AB05BC"/>
    <w:rsid w:val="00AB0F95"/>
    <w:rsid w:val="00AB1A2E"/>
    <w:rsid w:val="00AB20F6"/>
    <w:rsid w:val="00AB4601"/>
    <w:rsid w:val="00AB5980"/>
    <w:rsid w:val="00AC01C6"/>
    <w:rsid w:val="00AC0C3B"/>
    <w:rsid w:val="00AC0E62"/>
    <w:rsid w:val="00AC0FE0"/>
    <w:rsid w:val="00AC2566"/>
    <w:rsid w:val="00AC2A1A"/>
    <w:rsid w:val="00AC2BE2"/>
    <w:rsid w:val="00AC4155"/>
    <w:rsid w:val="00AC4B1C"/>
    <w:rsid w:val="00AC51DC"/>
    <w:rsid w:val="00AC5338"/>
    <w:rsid w:val="00AC56F0"/>
    <w:rsid w:val="00AC59B7"/>
    <w:rsid w:val="00AC5C13"/>
    <w:rsid w:val="00AD0030"/>
    <w:rsid w:val="00AD04C6"/>
    <w:rsid w:val="00AD16EA"/>
    <w:rsid w:val="00AD1A5E"/>
    <w:rsid w:val="00AD1CC0"/>
    <w:rsid w:val="00AD2088"/>
    <w:rsid w:val="00AD2269"/>
    <w:rsid w:val="00AD42FF"/>
    <w:rsid w:val="00AD55C9"/>
    <w:rsid w:val="00AD5D5B"/>
    <w:rsid w:val="00AD6C9E"/>
    <w:rsid w:val="00AD7216"/>
    <w:rsid w:val="00AE128D"/>
    <w:rsid w:val="00AE1536"/>
    <w:rsid w:val="00AE1BFC"/>
    <w:rsid w:val="00AE2546"/>
    <w:rsid w:val="00AE2C0C"/>
    <w:rsid w:val="00AE35D1"/>
    <w:rsid w:val="00AF1C3D"/>
    <w:rsid w:val="00AF261E"/>
    <w:rsid w:val="00AF26ED"/>
    <w:rsid w:val="00AF28CC"/>
    <w:rsid w:val="00AF3AEC"/>
    <w:rsid w:val="00AF6354"/>
    <w:rsid w:val="00AF6647"/>
    <w:rsid w:val="00B00D99"/>
    <w:rsid w:val="00B01047"/>
    <w:rsid w:val="00B016C7"/>
    <w:rsid w:val="00B01D29"/>
    <w:rsid w:val="00B037BA"/>
    <w:rsid w:val="00B0489E"/>
    <w:rsid w:val="00B04E47"/>
    <w:rsid w:val="00B050E0"/>
    <w:rsid w:val="00B077C9"/>
    <w:rsid w:val="00B079D7"/>
    <w:rsid w:val="00B07D1F"/>
    <w:rsid w:val="00B118B6"/>
    <w:rsid w:val="00B11A87"/>
    <w:rsid w:val="00B12325"/>
    <w:rsid w:val="00B12606"/>
    <w:rsid w:val="00B12CF3"/>
    <w:rsid w:val="00B12FAF"/>
    <w:rsid w:val="00B14875"/>
    <w:rsid w:val="00B154F7"/>
    <w:rsid w:val="00B15984"/>
    <w:rsid w:val="00B15DB1"/>
    <w:rsid w:val="00B17AA4"/>
    <w:rsid w:val="00B21886"/>
    <w:rsid w:val="00B23396"/>
    <w:rsid w:val="00B23479"/>
    <w:rsid w:val="00B238D7"/>
    <w:rsid w:val="00B24C90"/>
    <w:rsid w:val="00B2510A"/>
    <w:rsid w:val="00B268ED"/>
    <w:rsid w:val="00B27107"/>
    <w:rsid w:val="00B300D4"/>
    <w:rsid w:val="00B304B9"/>
    <w:rsid w:val="00B32C7E"/>
    <w:rsid w:val="00B32D32"/>
    <w:rsid w:val="00B33F9D"/>
    <w:rsid w:val="00B35E1A"/>
    <w:rsid w:val="00B36E62"/>
    <w:rsid w:val="00B37F7F"/>
    <w:rsid w:val="00B40F22"/>
    <w:rsid w:val="00B41481"/>
    <w:rsid w:val="00B42D64"/>
    <w:rsid w:val="00B4473A"/>
    <w:rsid w:val="00B4529D"/>
    <w:rsid w:val="00B460A7"/>
    <w:rsid w:val="00B50DC9"/>
    <w:rsid w:val="00B51689"/>
    <w:rsid w:val="00B5302F"/>
    <w:rsid w:val="00B5329F"/>
    <w:rsid w:val="00B56038"/>
    <w:rsid w:val="00B56995"/>
    <w:rsid w:val="00B60318"/>
    <w:rsid w:val="00B60389"/>
    <w:rsid w:val="00B61ACF"/>
    <w:rsid w:val="00B62AC8"/>
    <w:rsid w:val="00B62E19"/>
    <w:rsid w:val="00B6422A"/>
    <w:rsid w:val="00B6484E"/>
    <w:rsid w:val="00B64D8D"/>
    <w:rsid w:val="00B64D98"/>
    <w:rsid w:val="00B65AB9"/>
    <w:rsid w:val="00B667F1"/>
    <w:rsid w:val="00B678BE"/>
    <w:rsid w:val="00B67D66"/>
    <w:rsid w:val="00B7094C"/>
    <w:rsid w:val="00B7108E"/>
    <w:rsid w:val="00B71153"/>
    <w:rsid w:val="00B72672"/>
    <w:rsid w:val="00B72DB0"/>
    <w:rsid w:val="00B738D5"/>
    <w:rsid w:val="00B73BC3"/>
    <w:rsid w:val="00B74F5B"/>
    <w:rsid w:val="00B7523B"/>
    <w:rsid w:val="00B764A1"/>
    <w:rsid w:val="00B77396"/>
    <w:rsid w:val="00B82F15"/>
    <w:rsid w:val="00B83E24"/>
    <w:rsid w:val="00B84256"/>
    <w:rsid w:val="00B856E5"/>
    <w:rsid w:val="00B86028"/>
    <w:rsid w:val="00B90D92"/>
    <w:rsid w:val="00B93C3C"/>
    <w:rsid w:val="00B961AB"/>
    <w:rsid w:val="00B9720E"/>
    <w:rsid w:val="00BA092C"/>
    <w:rsid w:val="00BA1538"/>
    <w:rsid w:val="00BA1E7B"/>
    <w:rsid w:val="00BA3309"/>
    <w:rsid w:val="00BA3C54"/>
    <w:rsid w:val="00BA3ECC"/>
    <w:rsid w:val="00BA5108"/>
    <w:rsid w:val="00BA66F2"/>
    <w:rsid w:val="00BB1364"/>
    <w:rsid w:val="00BB1BC7"/>
    <w:rsid w:val="00BB21A2"/>
    <w:rsid w:val="00BB2957"/>
    <w:rsid w:val="00BB2B48"/>
    <w:rsid w:val="00BB4E11"/>
    <w:rsid w:val="00BB50B6"/>
    <w:rsid w:val="00BB5D71"/>
    <w:rsid w:val="00BB70C7"/>
    <w:rsid w:val="00BC0009"/>
    <w:rsid w:val="00BC0679"/>
    <w:rsid w:val="00BC0CDC"/>
    <w:rsid w:val="00BC2782"/>
    <w:rsid w:val="00BC27E2"/>
    <w:rsid w:val="00BC3E03"/>
    <w:rsid w:val="00BC4A69"/>
    <w:rsid w:val="00BC6352"/>
    <w:rsid w:val="00BC6B93"/>
    <w:rsid w:val="00BC70BE"/>
    <w:rsid w:val="00BD068A"/>
    <w:rsid w:val="00BD0892"/>
    <w:rsid w:val="00BD220F"/>
    <w:rsid w:val="00BD24A0"/>
    <w:rsid w:val="00BD2949"/>
    <w:rsid w:val="00BD3063"/>
    <w:rsid w:val="00BD4594"/>
    <w:rsid w:val="00BD4C93"/>
    <w:rsid w:val="00BD501B"/>
    <w:rsid w:val="00BD7694"/>
    <w:rsid w:val="00BD7A2E"/>
    <w:rsid w:val="00BD7FF6"/>
    <w:rsid w:val="00BE0756"/>
    <w:rsid w:val="00BE0FAE"/>
    <w:rsid w:val="00BE1734"/>
    <w:rsid w:val="00BE249A"/>
    <w:rsid w:val="00BE25C1"/>
    <w:rsid w:val="00BE2854"/>
    <w:rsid w:val="00BE398E"/>
    <w:rsid w:val="00BE3C72"/>
    <w:rsid w:val="00BE4E2B"/>
    <w:rsid w:val="00BE50A5"/>
    <w:rsid w:val="00BE5196"/>
    <w:rsid w:val="00BE54DB"/>
    <w:rsid w:val="00BE5FBD"/>
    <w:rsid w:val="00BE7C55"/>
    <w:rsid w:val="00BF290A"/>
    <w:rsid w:val="00BF2C54"/>
    <w:rsid w:val="00BF31CD"/>
    <w:rsid w:val="00BF456C"/>
    <w:rsid w:val="00BF5066"/>
    <w:rsid w:val="00BF6CE8"/>
    <w:rsid w:val="00BF6FC0"/>
    <w:rsid w:val="00C00180"/>
    <w:rsid w:val="00C00218"/>
    <w:rsid w:val="00C0294C"/>
    <w:rsid w:val="00C046DD"/>
    <w:rsid w:val="00C05ECB"/>
    <w:rsid w:val="00C0651F"/>
    <w:rsid w:val="00C06B9C"/>
    <w:rsid w:val="00C06D9F"/>
    <w:rsid w:val="00C06DDC"/>
    <w:rsid w:val="00C075AA"/>
    <w:rsid w:val="00C07A68"/>
    <w:rsid w:val="00C10B12"/>
    <w:rsid w:val="00C118A7"/>
    <w:rsid w:val="00C12107"/>
    <w:rsid w:val="00C12B30"/>
    <w:rsid w:val="00C13010"/>
    <w:rsid w:val="00C13CF5"/>
    <w:rsid w:val="00C14F83"/>
    <w:rsid w:val="00C16E28"/>
    <w:rsid w:val="00C22368"/>
    <w:rsid w:val="00C223F3"/>
    <w:rsid w:val="00C227EA"/>
    <w:rsid w:val="00C22A4F"/>
    <w:rsid w:val="00C22ED4"/>
    <w:rsid w:val="00C2302A"/>
    <w:rsid w:val="00C234B2"/>
    <w:rsid w:val="00C23FD1"/>
    <w:rsid w:val="00C27B1F"/>
    <w:rsid w:val="00C3073C"/>
    <w:rsid w:val="00C309D8"/>
    <w:rsid w:val="00C30D37"/>
    <w:rsid w:val="00C32E6B"/>
    <w:rsid w:val="00C33124"/>
    <w:rsid w:val="00C34820"/>
    <w:rsid w:val="00C349B6"/>
    <w:rsid w:val="00C355D8"/>
    <w:rsid w:val="00C35930"/>
    <w:rsid w:val="00C36FB7"/>
    <w:rsid w:val="00C4038E"/>
    <w:rsid w:val="00C41200"/>
    <w:rsid w:val="00C4150F"/>
    <w:rsid w:val="00C418F4"/>
    <w:rsid w:val="00C41D59"/>
    <w:rsid w:val="00C43CF5"/>
    <w:rsid w:val="00C46E59"/>
    <w:rsid w:val="00C47B57"/>
    <w:rsid w:val="00C51638"/>
    <w:rsid w:val="00C516D8"/>
    <w:rsid w:val="00C51860"/>
    <w:rsid w:val="00C52A05"/>
    <w:rsid w:val="00C52D6F"/>
    <w:rsid w:val="00C5528B"/>
    <w:rsid w:val="00C56396"/>
    <w:rsid w:val="00C56B37"/>
    <w:rsid w:val="00C60CD7"/>
    <w:rsid w:val="00C615B9"/>
    <w:rsid w:val="00C6195F"/>
    <w:rsid w:val="00C6273C"/>
    <w:rsid w:val="00C62E25"/>
    <w:rsid w:val="00C63DAB"/>
    <w:rsid w:val="00C63F45"/>
    <w:rsid w:val="00C64B08"/>
    <w:rsid w:val="00C66682"/>
    <w:rsid w:val="00C725CC"/>
    <w:rsid w:val="00C730A5"/>
    <w:rsid w:val="00C73CEF"/>
    <w:rsid w:val="00C73FB3"/>
    <w:rsid w:val="00C74636"/>
    <w:rsid w:val="00C748CF"/>
    <w:rsid w:val="00C74BE6"/>
    <w:rsid w:val="00C75DEC"/>
    <w:rsid w:val="00C80664"/>
    <w:rsid w:val="00C81115"/>
    <w:rsid w:val="00C853AA"/>
    <w:rsid w:val="00C85904"/>
    <w:rsid w:val="00C862BC"/>
    <w:rsid w:val="00C903F5"/>
    <w:rsid w:val="00C913B6"/>
    <w:rsid w:val="00C914DE"/>
    <w:rsid w:val="00C93212"/>
    <w:rsid w:val="00C93F08"/>
    <w:rsid w:val="00C942CD"/>
    <w:rsid w:val="00C94A3F"/>
    <w:rsid w:val="00C950ED"/>
    <w:rsid w:val="00C96009"/>
    <w:rsid w:val="00C96E5D"/>
    <w:rsid w:val="00C975EA"/>
    <w:rsid w:val="00CA14CF"/>
    <w:rsid w:val="00CA162C"/>
    <w:rsid w:val="00CA1C53"/>
    <w:rsid w:val="00CA2CF7"/>
    <w:rsid w:val="00CA35A8"/>
    <w:rsid w:val="00CA454E"/>
    <w:rsid w:val="00CA4873"/>
    <w:rsid w:val="00CA4DA0"/>
    <w:rsid w:val="00CB0A68"/>
    <w:rsid w:val="00CB10D1"/>
    <w:rsid w:val="00CB195A"/>
    <w:rsid w:val="00CB2B17"/>
    <w:rsid w:val="00CB5C41"/>
    <w:rsid w:val="00CB79D6"/>
    <w:rsid w:val="00CB7F78"/>
    <w:rsid w:val="00CC0457"/>
    <w:rsid w:val="00CC2C25"/>
    <w:rsid w:val="00CC3A21"/>
    <w:rsid w:val="00CC41CA"/>
    <w:rsid w:val="00CC42E8"/>
    <w:rsid w:val="00CC5362"/>
    <w:rsid w:val="00CC5B1C"/>
    <w:rsid w:val="00CC5EB9"/>
    <w:rsid w:val="00CC7597"/>
    <w:rsid w:val="00CD23CE"/>
    <w:rsid w:val="00CD3043"/>
    <w:rsid w:val="00CD3212"/>
    <w:rsid w:val="00CD3A3E"/>
    <w:rsid w:val="00CD3BB9"/>
    <w:rsid w:val="00CD4596"/>
    <w:rsid w:val="00CD61AA"/>
    <w:rsid w:val="00CD61ED"/>
    <w:rsid w:val="00CD7787"/>
    <w:rsid w:val="00CD7F52"/>
    <w:rsid w:val="00CE01B9"/>
    <w:rsid w:val="00CE09A6"/>
    <w:rsid w:val="00CE0CF5"/>
    <w:rsid w:val="00CE175B"/>
    <w:rsid w:val="00CE1B97"/>
    <w:rsid w:val="00CE40CF"/>
    <w:rsid w:val="00CE48C1"/>
    <w:rsid w:val="00CE4B22"/>
    <w:rsid w:val="00CF01DC"/>
    <w:rsid w:val="00CF12BB"/>
    <w:rsid w:val="00CF2633"/>
    <w:rsid w:val="00CF281A"/>
    <w:rsid w:val="00CF2BAB"/>
    <w:rsid w:val="00CF34A6"/>
    <w:rsid w:val="00CF3A20"/>
    <w:rsid w:val="00CF3A9A"/>
    <w:rsid w:val="00CF4A32"/>
    <w:rsid w:val="00CF4A7A"/>
    <w:rsid w:val="00CF4C8D"/>
    <w:rsid w:val="00CF4EF2"/>
    <w:rsid w:val="00CF7086"/>
    <w:rsid w:val="00D00413"/>
    <w:rsid w:val="00D00539"/>
    <w:rsid w:val="00D00E77"/>
    <w:rsid w:val="00D036DB"/>
    <w:rsid w:val="00D03931"/>
    <w:rsid w:val="00D039DE"/>
    <w:rsid w:val="00D04C6E"/>
    <w:rsid w:val="00D105F3"/>
    <w:rsid w:val="00D114BD"/>
    <w:rsid w:val="00D122D6"/>
    <w:rsid w:val="00D12410"/>
    <w:rsid w:val="00D13980"/>
    <w:rsid w:val="00D13CFD"/>
    <w:rsid w:val="00D1543B"/>
    <w:rsid w:val="00D17623"/>
    <w:rsid w:val="00D176D6"/>
    <w:rsid w:val="00D22580"/>
    <w:rsid w:val="00D225BC"/>
    <w:rsid w:val="00D23BF7"/>
    <w:rsid w:val="00D2706D"/>
    <w:rsid w:val="00D270D1"/>
    <w:rsid w:val="00D3040D"/>
    <w:rsid w:val="00D309A3"/>
    <w:rsid w:val="00D318AF"/>
    <w:rsid w:val="00D31C38"/>
    <w:rsid w:val="00D31C63"/>
    <w:rsid w:val="00D31CB4"/>
    <w:rsid w:val="00D34107"/>
    <w:rsid w:val="00D34DD4"/>
    <w:rsid w:val="00D3626B"/>
    <w:rsid w:val="00D400A5"/>
    <w:rsid w:val="00D42AF6"/>
    <w:rsid w:val="00D42EC4"/>
    <w:rsid w:val="00D438B2"/>
    <w:rsid w:val="00D44D4F"/>
    <w:rsid w:val="00D45830"/>
    <w:rsid w:val="00D47310"/>
    <w:rsid w:val="00D51CF9"/>
    <w:rsid w:val="00D51DAA"/>
    <w:rsid w:val="00D525F5"/>
    <w:rsid w:val="00D528DD"/>
    <w:rsid w:val="00D53269"/>
    <w:rsid w:val="00D555C9"/>
    <w:rsid w:val="00D55A8F"/>
    <w:rsid w:val="00D55D14"/>
    <w:rsid w:val="00D55FBA"/>
    <w:rsid w:val="00D60122"/>
    <w:rsid w:val="00D60169"/>
    <w:rsid w:val="00D60378"/>
    <w:rsid w:val="00D6039E"/>
    <w:rsid w:val="00D609CA"/>
    <w:rsid w:val="00D60A6E"/>
    <w:rsid w:val="00D61A23"/>
    <w:rsid w:val="00D6269A"/>
    <w:rsid w:val="00D6284B"/>
    <w:rsid w:val="00D62D68"/>
    <w:rsid w:val="00D64AE6"/>
    <w:rsid w:val="00D64B20"/>
    <w:rsid w:val="00D65391"/>
    <w:rsid w:val="00D70F39"/>
    <w:rsid w:val="00D7107F"/>
    <w:rsid w:val="00D7395D"/>
    <w:rsid w:val="00D744B5"/>
    <w:rsid w:val="00D7525D"/>
    <w:rsid w:val="00D75279"/>
    <w:rsid w:val="00D7545A"/>
    <w:rsid w:val="00D8090E"/>
    <w:rsid w:val="00D80D6D"/>
    <w:rsid w:val="00D813C8"/>
    <w:rsid w:val="00D81E25"/>
    <w:rsid w:val="00D83D47"/>
    <w:rsid w:val="00D8460E"/>
    <w:rsid w:val="00D85138"/>
    <w:rsid w:val="00D8743E"/>
    <w:rsid w:val="00D879EF"/>
    <w:rsid w:val="00D903F3"/>
    <w:rsid w:val="00D90692"/>
    <w:rsid w:val="00D92BC2"/>
    <w:rsid w:val="00D932C0"/>
    <w:rsid w:val="00D933C3"/>
    <w:rsid w:val="00D93B16"/>
    <w:rsid w:val="00D959E6"/>
    <w:rsid w:val="00D95BD3"/>
    <w:rsid w:val="00D975EC"/>
    <w:rsid w:val="00D978D0"/>
    <w:rsid w:val="00DA013C"/>
    <w:rsid w:val="00DA01C6"/>
    <w:rsid w:val="00DA1A9C"/>
    <w:rsid w:val="00DA2190"/>
    <w:rsid w:val="00DA23BF"/>
    <w:rsid w:val="00DA2C53"/>
    <w:rsid w:val="00DA31E9"/>
    <w:rsid w:val="00DA3646"/>
    <w:rsid w:val="00DA3731"/>
    <w:rsid w:val="00DA4CFD"/>
    <w:rsid w:val="00DA7F49"/>
    <w:rsid w:val="00DB0917"/>
    <w:rsid w:val="00DB3571"/>
    <w:rsid w:val="00DB3DE8"/>
    <w:rsid w:val="00DB4CC4"/>
    <w:rsid w:val="00DB4EA2"/>
    <w:rsid w:val="00DB508E"/>
    <w:rsid w:val="00DB6447"/>
    <w:rsid w:val="00DB79FA"/>
    <w:rsid w:val="00DC0434"/>
    <w:rsid w:val="00DC05D8"/>
    <w:rsid w:val="00DC101C"/>
    <w:rsid w:val="00DC14D2"/>
    <w:rsid w:val="00DC276D"/>
    <w:rsid w:val="00DC3B71"/>
    <w:rsid w:val="00DC4CB0"/>
    <w:rsid w:val="00DC52B6"/>
    <w:rsid w:val="00DC5E5F"/>
    <w:rsid w:val="00DD00E8"/>
    <w:rsid w:val="00DD1867"/>
    <w:rsid w:val="00DD1871"/>
    <w:rsid w:val="00DD1E17"/>
    <w:rsid w:val="00DD2915"/>
    <w:rsid w:val="00DD2A25"/>
    <w:rsid w:val="00DD38C6"/>
    <w:rsid w:val="00DD4972"/>
    <w:rsid w:val="00DD49B1"/>
    <w:rsid w:val="00DD53AC"/>
    <w:rsid w:val="00DD5AB3"/>
    <w:rsid w:val="00DD66C8"/>
    <w:rsid w:val="00DD6EE8"/>
    <w:rsid w:val="00DE0134"/>
    <w:rsid w:val="00DE0509"/>
    <w:rsid w:val="00DE077D"/>
    <w:rsid w:val="00DE0B6C"/>
    <w:rsid w:val="00DE2709"/>
    <w:rsid w:val="00DE3375"/>
    <w:rsid w:val="00DE5334"/>
    <w:rsid w:val="00DE5496"/>
    <w:rsid w:val="00DE5913"/>
    <w:rsid w:val="00DE746C"/>
    <w:rsid w:val="00DE7B65"/>
    <w:rsid w:val="00DF04A1"/>
    <w:rsid w:val="00DF1091"/>
    <w:rsid w:val="00DF16BD"/>
    <w:rsid w:val="00DF1D3E"/>
    <w:rsid w:val="00DF23EF"/>
    <w:rsid w:val="00DF2415"/>
    <w:rsid w:val="00DF2921"/>
    <w:rsid w:val="00DF57DD"/>
    <w:rsid w:val="00DF5A9C"/>
    <w:rsid w:val="00DF6229"/>
    <w:rsid w:val="00DF680C"/>
    <w:rsid w:val="00DF74C6"/>
    <w:rsid w:val="00E00882"/>
    <w:rsid w:val="00E00AE0"/>
    <w:rsid w:val="00E012EF"/>
    <w:rsid w:val="00E01A6C"/>
    <w:rsid w:val="00E0509A"/>
    <w:rsid w:val="00E0623E"/>
    <w:rsid w:val="00E0626A"/>
    <w:rsid w:val="00E06410"/>
    <w:rsid w:val="00E070C5"/>
    <w:rsid w:val="00E07706"/>
    <w:rsid w:val="00E10204"/>
    <w:rsid w:val="00E1173C"/>
    <w:rsid w:val="00E12D04"/>
    <w:rsid w:val="00E130A3"/>
    <w:rsid w:val="00E13F6A"/>
    <w:rsid w:val="00E14599"/>
    <w:rsid w:val="00E1515C"/>
    <w:rsid w:val="00E15535"/>
    <w:rsid w:val="00E16289"/>
    <w:rsid w:val="00E17C08"/>
    <w:rsid w:val="00E20031"/>
    <w:rsid w:val="00E20140"/>
    <w:rsid w:val="00E20C00"/>
    <w:rsid w:val="00E21B0A"/>
    <w:rsid w:val="00E22FA9"/>
    <w:rsid w:val="00E23062"/>
    <w:rsid w:val="00E231D7"/>
    <w:rsid w:val="00E25DF6"/>
    <w:rsid w:val="00E27DAA"/>
    <w:rsid w:val="00E30400"/>
    <w:rsid w:val="00E30E1E"/>
    <w:rsid w:val="00E31955"/>
    <w:rsid w:val="00E32B7E"/>
    <w:rsid w:val="00E34747"/>
    <w:rsid w:val="00E36295"/>
    <w:rsid w:val="00E36648"/>
    <w:rsid w:val="00E36A61"/>
    <w:rsid w:val="00E36B4D"/>
    <w:rsid w:val="00E371CD"/>
    <w:rsid w:val="00E373DC"/>
    <w:rsid w:val="00E407F9"/>
    <w:rsid w:val="00E4120F"/>
    <w:rsid w:val="00E41C14"/>
    <w:rsid w:val="00E431AF"/>
    <w:rsid w:val="00E43F33"/>
    <w:rsid w:val="00E4419C"/>
    <w:rsid w:val="00E46747"/>
    <w:rsid w:val="00E46FAB"/>
    <w:rsid w:val="00E501EA"/>
    <w:rsid w:val="00E50EF1"/>
    <w:rsid w:val="00E516A3"/>
    <w:rsid w:val="00E5278E"/>
    <w:rsid w:val="00E558A0"/>
    <w:rsid w:val="00E56115"/>
    <w:rsid w:val="00E62FD9"/>
    <w:rsid w:val="00E634C4"/>
    <w:rsid w:val="00E6400C"/>
    <w:rsid w:val="00E6410F"/>
    <w:rsid w:val="00E66650"/>
    <w:rsid w:val="00E66777"/>
    <w:rsid w:val="00E6739B"/>
    <w:rsid w:val="00E67E44"/>
    <w:rsid w:val="00E70384"/>
    <w:rsid w:val="00E70EED"/>
    <w:rsid w:val="00E70EEE"/>
    <w:rsid w:val="00E70FC9"/>
    <w:rsid w:val="00E71B55"/>
    <w:rsid w:val="00E72832"/>
    <w:rsid w:val="00E74342"/>
    <w:rsid w:val="00E77523"/>
    <w:rsid w:val="00E80C36"/>
    <w:rsid w:val="00E824B8"/>
    <w:rsid w:val="00E82600"/>
    <w:rsid w:val="00E83A3C"/>
    <w:rsid w:val="00E8429C"/>
    <w:rsid w:val="00E8463A"/>
    <w:rsid w:val="00E857DF"/>
    <w:rsid w:val="00E863CD"/>
    <w:rsid w:val="00E86762"/>
    <w:rsid w:val="00E87A17"/>
    <w:rsid w:val="00E91022"/>
    <w:rsid w:val="00E9156D"/>
    <w:rsid w:val="00E9174C"/>
    <w:rsid w:val="00E91E05"/>
    <w:rsid w:val="00E92114"/>
    <w:rsid w:val="00E94D36"/>
    <w:rsid w:val="00E9619A"/>
    <w:rsid w:val="00E9674D"/>
    <w:rsid w:val="00E96FBC"/>
    <w:rsid w:val="00EA2107"/>
    <w:rsid w:val="00EA3006"/>
    <w:rsid w:val="00EA321D"/>
    <w:rsid w:val="00EA32AE"/>
    <w:rsid w:val="00EA3607"/>
    <w:rsid w:val="00EA4238"/>
    <w:rsid w:val="00EA49F7"/>
    <w:rsid w:val="00EA6831"/>
    <w:rsid w:val="00EA7E56"/>
    <w:rsid w:val="00EB0D73"/>
    <w:rsid w:val="00EB2198"/>
    <w:rsid w:val="00EB2EC7"/>
    <w:rsid w:val="00EB447F"/>
    <w:rsid w:val="00EB48BB"/>
    <w:rsid w:val="00EB5682"/>
    <w:rsid w:val="00EB61DD"/>
    <w:rsid w:val="00EB6E99"/>
    <w:rsid w:val="00EB7AF0"/>
    <w:rsid w:val="00EB7D0D"/>
    <w:rsid w:val="00EC1005"/>
    <w:rsid w:val="00EC12B4"/>
    <w:rsid w:val="00EC3183"/>
    <w:rsid w:val="00EC39B8"/>
    <w:rsid w:val="00EC3E19"/>
    <w:rsid w:val="00EC4239"/>
    <w:rsid w:val="00EC4740"/>
    <w:rsid w:val="00EC57E9"/>
    <w:rsid w:val="00EC71C7"/>
    <w:rsid w:val="00EC7B5B"/>
    <w:rsid w:val="00EC7D5C"/>
    <w:rsid w:val="00EC7FA4"/>
    <w:rsid w:val="00ED276B"/>
    <w:rsid w:val="00ED3D5F"/>
    <w:rsid w:val="00ED474E"/>
    <w:rsid w:val="00ED4AC8"/>
    <w:rsid w:val="00ED5438"/>
    <w:rsid w:val="00ED5778"/>
    <w:rsid w:val="00ED72D5"/>
    <w:rsid w:val="00EE001E"/>
    <w:rsid w:val="00EE0258"/>
    <w:rsid w:val="00EE03A5"/>
    <w:rsid w:val="00EE03F8"/>
    <w:rsid w:val="00EE0A5E"/>
    <w:rsid w:val="00EE2C7C"/>
    <w:rsid w:val="00EE35DF"/>
    <w:rsid w:val="00EE419D"/>
    <w:rsid w:val="00EE61CB"/>
    <w:rsid w:val="00EE65D0"/>
    <w:rsid w:val="00EE679B"/>
    <w:rsid w:val="00EE6EE6"/>
    <w:rsid w:val="00EE7A2A"/>
    <w:rsid w:val="00EF0602"/>
    <w:rsid w:val="00EF1C90"/>
    <w:rsid w:val="00EF2903"/>
    <w:rsid w:val="00EF34A9"/>
    <w:rsid w:val="00EF3733"/>
    <w:rsid w:val="00EF3BFE"/>
    <w:rsid w:val="00EF3F03"/>
    <w:rsid w:val="00EF58ED"/>
    <w:rsid w:val="00F00945"/>
    <w:rsid w:val="00F01797"/>
    <w:rsid w:val="00F01ABC"/>
    <w:rsid w:val="00F01DF2"/>
    <w:rsid w:val="00F025EB"/>
    <w:rsid w:val="00F0405A"/>
    <w:rsid w:val="00F0411D"/>
    <w:rsid w:val="00F043CE"/>
    <w:rsid w:val="00F04A7B"/>
    <w:rsid w:val="00F05110"/>
    <w:rsid w:val="00F051D5"/>
    <w:rsid w:val="00F05371"/>
    <w:rsid w:val="00F065B9"/>
    <w:rsid w:val="00F078D5"/>
    <w:rsid w:val="00F07AB5"/>
    <w:rsid w:val="00F12042"/>
    <w:rsid w:val="00F1235C"/>
    <w:rsid w:val="00F130B7"/>
    <w:rsid w:val="00F130D2"/>
    <w:rsid w:val="00F13617"/>
    <w:rsid w:val="00F140F9"/>
    <w:rsid w:val="00F1486D"/>
    <w:rsid w:val="00F15F9A"/>
    <w:rsid w:val="00F1759C"/>
    <w:rsid w:val="00F20964"/>
    <w:rsid w:val="00F20973"/>
    <w:rsid w:val="00F20D53"/>
    <w:rsid w:val="00F23732"/>
    <w:rsid w:val="00F23812"/>
    <w:rsid w:val="00F2432C"/>
    <w:rsid w:val="00F253FD"/>
    <w:rsid w:val="00F26022"/>
    <w:rsid w:val="00F319A6"/>
    <w:rsid w:val="00F323FB"/>
    <w:rsid w:val="00F3250F"/>
    <w:rsid w:val="00F32D23"/>
    <w:rsid w:val="00F32F03"/>
    <w:rsid w:val="00F32F57"/>
    <w:rsid w:val="00F330DD"/>
    <w:rsid w:val="00F33A84"/>
    <w:rsid w:val="00F34147"/>
    <w:rsid w:val="00F34563"/>
    <w:rsid w:val="00F40C82"/>
    <w:rsid w:val="00F40E4F"/>
    <w:rsid w:val="00F42503"/>
    <w:rsid w:val="00F43055"/>
    <w:rsid w:val="00F43244"/>
    <w:rsid w:val="00F44A95"/>
    <w:rsid w:val="00F44F66"/>
    <w:rsid w:val="00F453DD"/>
    <w:rsid w:val="00F4569C"/>
    <w:rsid w:val="00F46E60"/>
    <w:rsid w:val="00F50724"/>
    <w:rsid w:val="00F50C99"/>
    <w:rsid w:val="00F54E67"/>
    <w:rsid w:val="00F56060"/>
    <w:rsid w:val="00F5645F"/>
    <w:rsid w:val="00F60DCD"/>
    <w:rsid w:val="00F617CC"/>
    <w:rsid w:val="00F62C14"/>
    <w:rsid w:val="00F632F7"/>
    <w:rsid w:val="00F63927"/>
    <w:rsid w:val="00F64E1D"/>
    <w:rsid w:val="00F655F1"/>
    <w:rsid w:val="00F65CE5"/>
    <w:rsid w:val="00F70E21"/>
    <w:rsid w:val="00F71C4D"/>
    <w:rsid w:val="00F72DA1"/>
    <w:rsid w:val="00F73FF3"/>
    <w:rsid w:val="00F75480"/>
    <w:rsid w:val="00F754BF"/>
    <w:rsid w:val="00F75C92"/>
    <w:rsid w:val="00F769C9"/>
    <w:rsid w:val="00F769CC"/>
    <w:rsid w:val="00F80324"/>
    <w:rsid w:val="00F8037A"/>
    <w:rsid w:val="00F8114D"/>
    <w:rsid w:val="00F81B49"/>
    <w:rsid w:val="00F83FDE"/>
    <w:rsid w:val="00F841FB"/>
    <w:rsid w:val="00F85B03"/>
    <w:rsid w:val="00F86B0B"/>
    <w:rsid w:val="00F8790C"/>
    <w:rsid w:val="00F87DED"/>
    <w:rsid w:val="00F91AF7"/>
    <w:rsid w:val="00F91D4F"/>
    <w:rsid w:val="00F91DFB"/>
    <w:rsid w:val="00F9426E"/>
    <w:rsid w:val="00F94CBD"/>
    <w:rsid w:val="00F952C7"/>
    <w:rsid w:val="00F95B54"/>
    <w:rsid w:val="00F9615C"/>
    <w:rsid w:val="00F96F0A"/>
    <w:rsid w:val="00F97A15"/>
    <w:rsid w:val="00FA10F8"/>
    <w:rsid w:val="00FA2CFC"/>
    <w:rsid w:val="00FA3A56"/>
    <w:rsid w:val="00FA3B07"/>
    <w:rsid w:val="00FA462A"/>
    <w:rsid w:val="00FA688C"/>
    <w:rsid w:val="00FA78D1"/>
    <w:rsid w:val="00FB033A"/>
    <w:rsid w:val="00FB2316"/>
    <w:rsid w:val="00FB2721"/>
    <w:rsid w:val="00FB316E"/>
    <w:rsid w:val="00FB4D7F"/>
    <w:rsid w:val="00FB53DA"/>
    <w:rsid w:val="00FB71B7"/>
    <w:rsid w:val="00FB736A"/>
    <w:rsid w:val="00FB7E59"/>
    <w:rsid w:val="00FC08BE"/>
    <w:rsid w:val="00FC183E"/>
    <w:rsid w:val="00FC46B2"/>
    <w:rsid w:val="00FD0B21"/>
    <w:rsid w:val="00FD490C"/>
    <w:rsid w:val="00FD500A"/>
    <w:rsid w:val="00FD52D1"/>
    <w:rsid w:val="00FD65C5"/>
    <w:rsid w:val="00FD6F0B"/>
    <w:rsid w:val="00FD7B26"/>
    <w:rsid w:val="00FD7EC7"/>
    <w:rsid w:val="00FE0217"/>
    <w:rsid w:val="00FE12FC"/>
    <w:rsid w:val="00FE1C12"/>
    <w:rsid w:val="00FE1F47"/>
    <w:rsid w:val="00FE1FE2"/>
    <w:rsid w:val="00FE2426"/>
    <w:rsid w:val="00FE2D79"/>
    <w:rsid w:val="00FE5642"/>
    <w:rsid w:val="00FE755D"/>
    <w:rsid w:val="00FF313A"/>
    <w:rsid w:val="00FF3631"/>
    <w:rsid w:val="00FF43FC"/>
    <w:rsid w:val="00FF56A7"/>
    <w:rsid w:val="00FF61B9"/>
    <w:rsid w:val="00FF7031"/>
    <w:rsid w:val="00FF73F7"/>
    <w:rsid w:val="00FF7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B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8D1"/>
    <w:pPr>
      <w:spacing w:after="0"/>
    </w:pPr>
    <w:rPr>
      <w:rFonts w:ascii="Cambria" w:hAnsi="Cambria"/>
      <w:sz w:val="24"/>
    </w:rPr>
  </w:style>
  <w:style w:type="paragraph" w:styleId="Heading1">
    <w:name w:val="heading 1"/>
    <w:basedOn w:val="Normal"/>
    <w:next w:val="Text"/>
    <w:link w:val="Heading1Char"/>
    <w:uiPriority w:val="9"/>
    <w:qFormat/>
    <w:rsid w:val="00F20D53"/>
    <w:pPr>
      <w:keepNext/>
      <w:keepLines/>
      <w:spacing w:before="240" w:after="480"/>
      <w:outlineLvl w:val="0"/>
    </w:pPr>
    <w:rPr>
      <w:rFonts w:eastAsiaTheme="majorEastAsia" w:cstheme="majorBidi"/>
      <w:bCs/>
      <w:caps/>
      <w:color w:val="175F6E"/>
      <w:sz w:val="45"/>
      <w:szCs w:val="28"/>
    </w:rPr>
  </w:style>
  <w:style w:type="paragraph" w:styleId="Heading2">
    <w:name w:val="heading 2"/>
    <w:basedOn w:val="Heading1"/>
    <w:next w:val="Text"/>
    <w:link w:val="Heading2Char"/>
    <w:uiPriority w:val="9"/>
    <w:unhideWhenUsed/>
    <w:qFormat/>
    <w:rsid w:val="00664CE5"/>
    <w:pPr>
      <w:numPr>
        <w:numId w:val="1"/>
      </w:numPr>
      <w:spacing w:before="200" w:after="360"/>
      <w:outlineLvl w:val="1"/>
    </w:pPr>
    <w:rPr>
      <w:rFonts w:eastAsia="Lucida Sans Unicode"/>
      <w:bCs w:val="0"/>
      <w:color w:val="00505E"/>
      <w:szCs w:val="45"/>
    </w:rPr>
  </w:style>
  <w:style w:type="paragraph" w:styleId="Heading3">
    <w:name w:val="heading 3"/>
    <w:basedOn w:val="Heading2"/>
    <w:next w:val="Text"/>
    <w:link w:val="Heading3Char"/>
    <w:uiPriority w:val="9"/>
    <w:unhideWhenUsed/>
    <w:qFormat/>
    <w:rsid w:val="005058B5"/>
    <w:pPr>
      <w:numPr>
        <w:ilvl w:val="1"/>
      </w:numPr>
      <w:tabs>
        <w:tab w:val="left" w:pos="907"/>
        <w:tab w:val="left" w:pos="1134"/>
        <w:tab w:val="left" w:pos="1361"/>
      </w:tabs>
      <w:spacing w:after="240"/>
      <w:outlineLvl w:val="2"/>
    </w:pPr>
    <w:rPr>
      <w:bCs/>
      <w:caps w:val="0"/>
      <w:sz w:val="26"/>
      <w:szCs w:val="26"/>
    </w:rPr>
  </w:style>
  <w:style w:type="paragraph" w:styleId="Heading4">
    <w:name w:val="heading 4"/>
    <w:basedOn w:val="Heading3"/>
    <w:next w:val="Text"/>
    <w:link w:val="Heading4Char"/>
    <w:uiPriority w:val="9"/>
    <w:unhideWhenUsed/>
    <w:qFormat/>
    <w:rsid w:val="005058B5"/>
    <w:pPr>
      <w:numPr>
        <w:ilvl w:val="2"/>
      </w:numPr>
      <w:outlineLvl w:val="3"/>
    </w:pPr>
  </w:style>
  <w:style w:type="paragraph" w:styleId="Heading5">
    <w:name w:val="heading 5"/>
    <w:basedOn w:val="Heading4"/>
    <w:next w:val="Text"/>
    <w:link w:val="Heading5Char"/>
    <w:uiPriority w:val="9"/>
    <w:unhideWhenUsed/>
    <w:qFormat/>
    <w:rsid w:val="008F5D04"/>
    <w:pPr>
      <w:numPr>
        <w:ilvl w:val="3"/>
      </w:numPr>
      <w:spacing w:after="120"/>
      <w:outlineLvl w:val="4"/>
    </w:pPr>
    <w:rPr>
      <w:rFonts w:eastAsiaTheme="majorEastAsia"/>
      <w:sz w:val="24"/>
    </w:rPr>
  </w:style>
  <w:style w:type="paragraph" w:styleId="Heading6">
    <w:name w:val="heading 6"/>
    <w:basedOn w:val="Normal"/>
    <w:next w:val="Text"/>
    <w:link w:val="Heading6Char"/>
    <w:uiPriority w:val="9"/>
    <w:unhideWhenUsed/>
    <w:qFormat/>
    <w:rsid w:val="00F20D53"/>
    <w:pPr>
      <w:outlineLvl w:val="5"/>
    </w:pPr>
    <w:rPr>
      <w:rFonts w:eastAsiaTheme="majorEastAsia" w:cstheme="majorBidi"/>
      <w:bCs/>
      <w:color w:val="00505E"/>
      <w:szCs w:val="26"/>
    </w:rPr>
  </w:style>
  <w:style w:type="paragraph" w:styleId="Heading7">
    <w:name w:val="heading 7"/>
    <w:basedOn w:val="Text"/>
    <w:next w:val="Text"/>
    <w:link w:val="Heading7Char"/>
    <w:uiPriority w:val="9"/>
    <w:unhideWhenUsed/>
    <w:qFormat/>
    <w:rsid w:val="00F20D53"/>
    <w:pPr>
      <w:spacing w:before="120" w:after="120"/>
      <w:outlineLvl w:val="6"/>
    </w:pPr>
    <w:rPr>
      <w:rFonts w:eastAsiaTheme="majorEastAsia" w:cstheme="majorBidi"/>
      <w:b/>
      <w:iCs/>
      <w:sz w:val="20"/>
    </w:rPr>
  </w:style>
  <w:style w:type="paragraph" w:styleId="Heading8">
    <w:name w:val="heading 8"/>
    <w:basedOn w:val="Normal"/>
    <w:next w:val="Normal"/>
    <w:link w:val="Heading8Char"/>
    <w:uiPriority w:val="9"/>
    <w:unhideWhenUsed/>
    <w:qFormat/>
    <w:rsid w:val="00F20D53"/>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20D53"/>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20D53"/>
    <w:pPr>
      <w:spacing w:after="0"/>
    </w:pPr>
    <w:rPr>
      <w:rFonts w:ascii="Cambria" w:hAnsi="Cambria"/>
      <w:lang w:val="en-US" w:eastAsia="ja-JP"/>
    </w:rPr>
  </w:style>
  <w:style w:type="character" w:customStyle="1" w:styleId="NoSpacingChar">
    <w:name w:val="No Spacing Char"/>
    <w:basedOn w:val="DefaultParagraphFont"/>
    <w:link w:val="NoSpacing"/>
    <w:uiPriority w:val="1"/>
    <w:rsid w:val="00F20D53"/>
    <w:rPr>
      <w:rFonts w:ascii="Cambria" w:hAnsi="Cambria"/>
      <w:lang w:val="en-US" w:eastAsia="ja-JP"/>
    </w:rPr>
  </w:style>
  <w:style w:type="paragraph" w:styleId="BalloonText">
    <w:name w:val="Balloon Text"/>
    <w:basedOn w:val="Normal"/>
    <w:link w:val="BalloonTextChar"/>
    <w:uiPriority w:val="99"/>
    <w:semiHidden/>
    <w:unhideWhenUsed/>
    <w:rsid w:val="00CC0457"/>
    <w:rPr>
      <w:rFonts w:ascii="Tahoma" w:hAnsi="Tahoma" w:cs="Tahoma"/>
      <w:sz w:val="16"/>
      <w:szCs w:val="16"/>
    </w:rPr>
  </w:style>
  <w:style w:type="character" w:customStyle="1" w:styleId="BalloonTextChar">
    <w:name w:val="Balloon Text Char"/>
    <w:basedOn w:val="DefaultParagraphFont"/>
    <w:link w:val="BalloonText"/>
    <w:uiPriority w:val="99"/>
    <w:semiHidden/>
    <w:rsid w:val="00CC0457"/>
    <w:rPr>
      <w:rFonts w:ascii="Tahoma" w:hAnsi="Tahoma" w:cs="Tahoma"/>
      <w:sz w:val="16"/>
      <w:szCs w:val="16"/>
    </w:rPr>
  </w:style>
  <w:style w:type="paragraph" w:styleId="Header">
    <w:name w:val="header"/>
    <w:basedOn w:val="Normal"/>
    <w:link w:val="HeaderChar"/>
    <w:uiPriority w:val="99"/>
    <w:unhideWhenUsed/>
    <w:rsid w:val="00CC0457"/>
    <w:pPr>
      <w:tabs>
        <w:tab w:val="center" w:pos="4819"/>
        <w:tab w:val="right" w:pos="9638"/>
      </w:tabs>
    </w:pPr>
  </w:style>
  <w:style w:type="character" w:customStyle="1" w:styleId="HeaderChar">
    <w:name w:val="Header Char"/>
    <w:basedOn w:val="DefaultParagraphFont"/>
    <w:link w:val="Header"/>
    <w:uiPriority w:val="99"/>
    <w:rsid w:val="00CC0457"/>
  </w:style>
  <w:style w:type="paragraph" w:styleId="Footer">
    <w:name w:val="footer"/>
    <w:basedOn w:val="Normal"/>
    <w:link w:val="FooterChar"/>
    <w:uiPriority w:val="99"/>
    <w:unhideWhenUsed/>
    <w:rsid w:val="00CC0457"/>
    <w:pPr>
      <w:tabs>
        <w:tab w:val="center" w:pos="4819"/>
        <w:tab w:val="right" w:pos="9638"/>
      </w:tabs>
    </w:pPr>
  </w:style>
  <w:style w:type="character" w:customStyle="1" w:styleId="FooterChar">
    <w:name w:val="Footer Char"/>
    <w:basedOn w:val="DefaultParagraphFont"/>
    <w:link w:val="Footer"/>
    <w:uiPriority w:val="99"/>
    <w:rsid w:val="00CC0457"/>
  </w:style>
  <w:style w:type="character" w:styleId="PlaceholderText">
    <w:name w:val="Placeholder Text"/>
    <w:basedOn w:val="DefaultParagraphFont"/>
    <w:uiPriority w:val="99"/>
    <w:semiHidden/>
    <w:rsid w:val="00D47310"/>
    <w:rPr>
      <w:color w:val="808080"/>
    </w:rPr>
  </w:style>
  <w:style w:type="character" w:customStyle="1" w:styleId="Heading1Char">
    <w:name w:val="Heading 1 Char"/>
    <w:basedOn w:val="DefaultParagraphFont"/>
    <w:link w:val="Heading1"/>
    <w:uiPriority w:val="9"/>
    <w:rsid w:val="00F20D53"/>
    <w:rPr>
      <w:rFonts w:ascii="Cambria" w:eastAsiaTheme="majorEastAsia" w:hAnsi="Cambria" w:cstheme="majorBidi"/>
      <w:bCs/>
      <w:caps/>
      <w:color w:val="175F6E"/>
      <w:sz w:val="45"/>
      <w:szCs w:val="28"/>
    </w:rPr>
  </w:style>
  <w:style w:type="character" w:customStyle="1" w:styleId="Heading2Char">
    <w:name w:val="Heading 2 Char"/>
    <w:basedOn w:val="DefaultParagraphFont"/>
    <w:link w:val="Heading2"/>
    <w:uiPriority w:val="9"/>
    <w:rsid w:val="00664CE5"/>
    <w:rPr>
      <w:rFonts w:ascii="Cambria" w:eastAsia="Lucida Sans Unicode" w:hAnsi="Cambria" w:cstheme="majorBidi"/>
      <w:caps/>
      <w:color w:val="00505E"/>
      <w:sz w:val="45"/>
      <w:szCs w:val="45"/>
    </w:rPr>
  </w:style>
  <w:style w:type="character" w:customStyle="1" w:styleId="Heading3Char">
    <w:name w:val="Heading 3 Char"/>
    <w:basedOn w:val="DefaultParagraphFont"/>
    <w:link w:val="Heading3"/>
    <w:uiPriority w:val="9"/>
    <w:rsid w:val="005058B5"/>
    <w:rPr>
      <w:rFonts w:ascii="Cambria" w:eastAsia="Lucida Sans Unicode" w:hAnsi="Cambria" w:cstheme="majorBidi"/>
      <w:bCs/>
      <w:color w:val="00505E"/>
      <w:sz w:val="26"/>
      <w:szCs w:val="26"/>
    </w:rPr>
  </w:style>
  <w:style w:type="paragraph" w:styleId="Subtitle">
    <w:name w:val="Subtitle"/>
    <w:basedOn w:val="Normal"/>
    <w:next w:val="Normal"/>
    <w:link w:val="SubtitleChar"/>
    <w:uiPriority w:val="11"/>
    <w:qFormat/>
    <w:rsid w:val="00F20D53"/>
    <w:pPr>
      <w:numPr>
        <w:ilvl w:val="1"/>
      </w:numPr>
    </w:pPr>
    <w:rPr>
      <w:rFonts w:eastAsiaTheme="majorEastAsia" w:cstheme="majorBidi"/>
      <w:iCs/>
      <w:caps/>
      <w:color w:val="175F6E"/>
      <w:spacing w:val="15"/>
      <w:sz w:val="45"/>
      <w:szCs w:val="24"/>
    </w:rPr>
  </w:style>
  <w:style w:type="character" w:customStyle="1" w:styleId="SubtitleChar">
    <w:name w:val="Subtitle Char"/>
    <w:basedOn w:val="DefaultParagraphFont"/>
    <w:link w:val="Subtitle"/>
    <w:uiPriority w:val="11"/>
    <w:rsid w:val="00F20D53"/>
    <w:rPr>
      <w:rFonts w:ascii="Cambria" w:eastAsiaTheme="majorEastAsia" w:hAnsi="Cambria" w:cstheme="majorBidi"/>
      <w:iCs/>
      <w:caps/>
      <w:color w:val="175F6E"/>
      <w:spacing w:val="15"/>
      <w:sz w:val="45"/>
      <w:szCs w:val="24"/>
    </w:rPr>
  </w:style>
  <w:style w:type="paragraph" w:customStyle="1" w:styleId="Subtitlewhite">
    <w:name w:val="Subtitle white"/>
    <w:basedOn w:val="Subtitle"/>
    <w:link w:val="SubtitlewhiteChar"/>
    <w:qFormat/>
    <w:rsid w:val="00F20D53"/>
    <w:rPr>
      <w:color w:val="FFFFFF" w:themeColor="background1"/>
      <w:sz w:val="52"/>
    </w:rPr>
  </w:style>
  <w:style w:type="paragraph" w:styleId="Title">
    <w:name w:val="Title"/>
    <w:basedOn w:val="Normal"/>
    <w:next w:val="Normal"/>
    <w:link w:val="TitleChar"/>
    <w:uiPriority w:val="10"/>
    <w:qFormat/>
    <w:rsid w:val="00F20D53"/>
    <w:pPr>
      <w:contextualSpacing/>
    </w:pPr>
    <w:rPr>
      <w:rFonts w:eastAsiaTheme="majorEastAsia" w:cstheme="majorBidi"/>
      <w:caps/>
      <w:color w:val="175F6E"/>
      <w:spacing w:val="15"/>
      <w:kern w:val="28"/>
      <w:sz w:val="52"/>
      <w:szCs w:val="52"/>
    </w:rPr>
  </w:style>
  <w:style w:type="character" w:customStyle="1" w:styleId="SubtitlewhiteChar">
    <w:name w:val="Subtitle white Char"/>
    <w:basedOn w:val="SubtitleChar"/>
    <w:link w:val="Subtitlewhite"/>
    <w:rsid w:val="00F20D53"/>
    <w:rPr>
      <w:rFonts w:ascii="Cambria" w:eastAsiaTheme="majorEastAsia" w:hAnsi="Cambria" w:cstheme="majorBidi"/>
      <w:iCs/>
      <w:caps/>
      <w:color w:val="FFFFFF" w:themeColor="background1"/>
      <w:spacing w:val="15"/>
      <w:sz w:val="52"/>
      <w:szCs w:val="24"/>
    </w:rPr>
  </w:style>
  <w:style w:type="character" w:customStyle="1" w:styleId="TitleChar">
    <w:name w:val="Title Char"/>
    <w:basedOn w:val="DefaultParagraphFont"/>
    <w:link w:val="Title"/>
    <w:uiPriority w:val="10"/>
    <w:rsid w:val="00F20D53"/>
    <w:rPr>
      <w:rFonts w:ascii="Cambria" w:eastAsiaTheme="majorEastAsia" w:hAnsi="Cambria" w:cstheme="majorBidi"/>
      <w:caps/>
      <w:color w:val="175F6E"/>
      <w:spacing w:val="15"/>
      <w:kern w:val="28"/>
      <w:sz w:val="52"/>
      <w:szCs w:val="52"/>
    </w:rPr>
  </w:style>
  <w:style w:type="paragraph" w:styleId="ListParagraph">
    <w:name w:val="List Paragraph"/>
    <w:basedOn w:val="Normal"/>
    <w:link w:val="ListParagraphChar"/>
    <w:uiPriority w:val="34"/>
    <w:qFormat/>
    <w:rsid w:val="00F20D53"/>
    <w:pPr>
      <w:contextualSpacing/>
    </w:pPr>
  </w:style>
  <w:style w:type="paragraph" w:customStyle="1" w:styleId="Text">
    <w:name w:val="Text"/>
    <w:basedOn w:val="Normal"/>
    <w:link w:val="TextChar"/>
    <w:qFormat/>
    <w:rsid w:val="00BF31CD"/>
    <w:pPr>
      <w:tabs>
        <w:tab w:val="left" w:pos="9600"/>
      </w:tabs>
      <w:spacing w:after="240"/>
      <w:ind w:left="505" w:right="74"/>
      <w:jc w:val="both"/>
    </w:pPr>
    <w:rPr>
      <w:noProof/>
    </w:rPr>
  </w:style>
  <w:style w:type="paragraph" w:customStyle="1" w:styleId="HeaderText">
    <w:name w:val="Header Text"/>
    <w:basedOn w:val="Header"/>
    <w:link w:val="HeaderTextChar"/>
    <w:qFormat/>
    <w:rsid w:val="001E11A2"/>
    <w:pPr>
      <w:tabs>
        <w:tab w:val="clear" w:pos="4819"/>
        <w:tab w:val="clear" w:pos="9638"/>
        <w:tab w:val="right" w:pos="10086"/>
      </w:tabs>
    </w:pPr>
    <w:rPr>
      <w:bCs/>
      <w:caps/>
      <w:color w:val="9A9A9A" w:themeColor="text2"/>
      <w:sz w:val="16"/>
      <w:szCs w:val="28"/>
    </w:rPr>
  </w:style>
  <w:style w:type="character" w:customStyle="1" w:styleId="TextChar">
    <w:name w:val="Text Char"/>
    <w:basedOn w:val="DefaultParagraphFont"/>
    <w:link w:val="Text"/>
    <w:rsid w:val="00BF31CD"/>
    <w:rPr>
      <w:noProof/>
      <w:sz w:val="24"/>
    </w:rPr>
  </w:style>
  <w:style w:type="paragraph" w:customStyle="1" w:styleId="TextWhite">
    <w:name w:val="Text White"/>
    <w:basedOn w:val="Text"/>
    <w:link w:val="TextWhiteChar"/>
    <w:qFormat/>
    <w:rsid w:val="00F20D53"/>
    <w:pPr>
      <w:ind w:left="0"/>
    </w:pPr>
    <w:rPr>
      <w:color w:val="FFFFFF" w:themeColor="background1"/>
      <w:sz w:val="32"/>
    </w:rPr>
  </w:style>
  <w:style w:type="character" w:customStyle="1" w:styleId="HeaderTextChar">
    <w:name w:val="Header Text Char"/>
    <w:basedOn w:val="HeaderChar"/>
    <w:link w:val="HeaderText"/>
    <w:rsid w:val="001E11A2"/>
    <w:rPr>
      <w:bCs/>
      <w:caps/>
      <w:color w:val="9A9A9A" w:themeColor="text2"/>
      <w:sz w:val="16"/>
      <w:szCs w:val="28"/>
    </w:rPr>
  </w:style>
  <w:style w:type="paragraph" w:customStyle="1" w:styleId="TextWhiteUP">
    <w:name w:val="Text White UP"/>
    <w:basedOn w:val="Normal"/>
    <w:link w:val="TextWhiteUPChar"/>
    <w:autoRedefine/>
    <w:qFormat/>
    <w:rsid w:val="00F20D53"/>
    <w:rPr>
      <w:caps/>
      <w:color w:val="FFFFFF" w:themeColor="background1"/>
      <w:sz w:val="32"/>
    </w:rPr>
  </w:style>
  <w:style w:type="character" w:customStyle="1" w:styleId="TextWhiteChar">
    <w:name w:val="Text White Char"/>
    <w:basedOn w:val="DefaultParagraphFont"/>
    <w:link w:val="TextWhite"/>
    <w:rsid w:val="00F20D53"/>
    <w:rPr>
      <w:rFonts w:ascii="Cambria" w:hAnsi="Cambria"/>
      <w:noProof/>
      <w:color w:val="FFFFFF" w:themeColor="background1"/>
      <w:sz w:val="32"/>
    </w:rPr>
  </w:style>
  <w:style w:type="character" w:customStyle="1" w:styleId="TextWhiteUPChar">
    <w:name w:val="Text White UP Char"/>
    <w:basedOn w:val="TextWhiteChar"/>
    <w:link w:val="TextWhiteUP"/>
    <w:rsid w:val="00F20D53"/>
    <w:rPr>
      <w:rFonts w:ascii="Cambria" w:hAnsi="Cambria"/>
      <w:caps/>
      <w:noProof/>
      <w:color w:val="FFFFFF" w:themeColor="background1"/>
      <w:sz w:val="32"/>
    </w:rPr>
  </w:style>
  <w:style w:type="paragraph" w:styleId="TOCHeading">
    <w:name w:val="TOC Heading"/>
    <w:basedOn w:val="Heading1"/>
    <w:next w:val="Normal"/>
    <w:uiPriority w:val="39"/>
    <w:unhideWhenUsed/>
    <w:qFormat/>
    <w:rsid w:val="00C349B6"/>
    <w:pPr>
      <w:spacing w:before="360"/>
      <w:outlineLvl w:val="9"/>
    </w:pPr>
    <w:rPr>
      <w:color w:val="00505E"/>
      <w:lang w:val="en-US" w:eastAsia="ja-JP"/>
    </w:rPr>
  </w:style>
  <w:style w:type="paragraph" w:styleId="TOC1">
    <w:name w:val="toc 1"/>
    <w:basedOn w:val="Normal"/>
    <w:next w:val="Normal"/>
    <w:autoRedefine/>
    <w:uiPriority w:val="39"/>
    <w:unhideWhenUsed/>
    <w:rsid w:val="0017092B"/>
    <w:pPr>
      <w:tabs>
        <w:tab w:val="right" w:leader="dot" w:pos="10076"/>
      </w:tabs>
      <w:spacing w:after="100"/>
    </w:pPr>
    <w:rPr>
      <w:color w:val="343435"/>
      <w:sz w:val="22"/>
    </w:rPr>
  </w:style>
  <w:style w:type="character" w:styleId="Hyperlink">
    <w:name w:val="Hyperlink"/>
    <w:basedOn w:val="DefaultParagraphFont"/>
    <w:uiPriority w:val="99"/>
    <w:unhideWhenUsed/>
    <w:rsid w:val="00333DD6"/>
    <w:rPr>
      <w:color w:val="0000FF" w:themeColor="hyperlink"/>
      <w:u w:val="single"/>
    </w:rPr>
  </w:style>
  <w:style w:type="paragraph" w:styleId="TOC2">
    <w:name w:val="toc 2"/>
    <w:basedOn w:val="Normal"/>
    <w:next w:val="Normal"/>
    <w:autoRedefine/>
    <w:uiPriority w:val="39"/>
    <w:unhideWhenUsed/>
    <w:rsid w:val="008B4B82"/>
    <w:pPr>
      <w:tabs>
        <w:tab w:val="left" w:pos="794"/>
        <w:tab w:val="right" w:leader="dot" w:pos="10076"/>
      </w:tabs>
      <w:spacing w:after="100"/>
    </w:pPr>
    <w:rPr>
      <w:rFonts w:asciiTheme="minorHAnsi" w:hAnsiTheme="minorHAnsi"/>
      <w:bCs/>
      <w:noProof/>
      <w:color w:val="343435"/>
      <w:szCs w:val="24"/>
    </w:rPr>
  </w:style>
  <w:style w:type="character" w:customStyle="1" w:styleId="Heading4Char">
    <w:name w:val="Heading 4 Char"/>
    <w:basedOn w:val="DefaultParagraphFont"/>
    <w:link w:val="Heading4"/>
    <w:uiPriority w:val="9"/>
    <w:rsid w:val="005058B5"/>
    <w:rPr>
      <w:rFonts w:ascii="Cambria" w:eastAsia="Lucida Sans Unicode" w:hAnsi="Cambria" w:cstheme="majorBidi"/>
      <w:bCs/>
      <w:color w:val="00505E"/>
      <w:sz w:val="26"/>
      <w:szCs w:val="26"/>
    </w:rPr>
  </w:style>
  <w:style w:type="paragraph" w:styleId="TOC3">
    <w:name w:val="toc 3"/>
    <w:basedOn w:val="Normal"/>
    <w:next w:val="Normal"/>
    <w:autoRedefine/>
    <w:uiPriority w:val="39"/>
    <w:unhideWhenUsed/>
    <w:rsid w:val="00F20D53"/>
    <w:pPr>
      <w:tabs>
        <w:tab w:val="left" w:pos="1418"/>
        <w:tab w:val="left" w:pos="1531"/>
        <w:tab w:val="right" w:leader="dot" w:pos="10076"/>
      </w:tabs>
      <w:spacing w:after="100"/>
      <w:ind w:left="794"/>
    </w:pPr>
    <w:rPr>
      <w:color w:val="343435"/>
      <w:sz w:val="22"/>
    </w:rPr>
  </w:style>
  <w:style w:type="table" w:styleId="TableGrid">
    <w:name w:val="Table Grid"/>
    <w:basedOn w:val="TableNormal"/>
    <w:uiPriority w:val="59"/>
    <w:rsid w:val="008A2BFC"/>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rPr>
    </w:tblStylePr>
    <w:tblStylePr w:type="lastRow">
      <w:rPr>
        <w:rFonts w:asciiTheme="minorHAnsi" w:hAnsiTheme="minorHAnsi"/>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rPr>
    </w:tblStylePr>
    <w:tblStylePr w:type="band2Horz">
      <w:rPr>
        <w:rFonts w:asciiTheme="minorHAnsi" w:hAnsiTheme="minorHAnsi"/>
      </w:rPr>
    </w:tblStylePr>
  </w:style>
  <w:style w:type="paragraph" w:styleId="Caption">
    <w:name w:val="caption"/>
    <w:aliases w:val="Table caption,paveikslas,Paveikslo pavadinimas,TabelOverskrift,Char Char Char,Caption1 Char Char Char Char Char Char Char Char,Caption1 Char Char Char Char Char Char Char Char Tegn Tegn Tegn Tegn Tegn,Tabelkop"/>
    <w:basedOn w:val="Normal"/>
    <w:next w:val="Normal"/>
    <w:link w:val="CaptionChar"/>
    <w:unhideWhenUsed/>
    <w:qFormat/>
    <w:rsid w:val="00F20D53"/>
    <w:rPr>
      <w:b/>
      <w:bCs/>
      <w:sz w:val="22"/>
      <w:szCs w:val="18"/>
    </w:rPr>
  </w:style>
  <w:style w:type="paragraph" w:styleId="TableofFigures">
    <w:name w:val="table of figures"/>
    <w:basedOn w:val="Normal"/>
    <w:next w:val="Normal"/>
    <w:uiPriority w:val="99"/>
    <w:unhideWhenUsed/>
    <w:rsid w:val="00614BF4"/>
    <w:pPr>
      <w:ind w:left="505"/>
    </w:pPr>
  </w:style>
  <w:style w:type="table" w:styleId="MediumShading1-Accent3">
    <w:name w:val="Medium Shading 1 Accent 3"/>
    <w:basedOn w:val="TableNormal"/>
    <w:uiPriority w:val="63"/>
    <w:rsid w:val="008D7330"/>
    <w:pPr>
      <w:spacing w:after="0" w:line="240" w:lineRule="auto"/>
    </w:pPr>
    <w:tblPr>
      <w:tblStyleRowBandSize w:val="1"/>
      <w:tblStyleColBandSize w:val="1"/>
      <w:tblBorders>
        <w:top w:val="single" w:sz="8" w:space="0" w:color="C3D1D8" w:themeColor="accent3" w:themeTint="BF"/>
        <w:left w:val="single" w:sz="8" w:space="0" w:color="C3D1D8" w:themeColor="accent3" w:themeTint="BF"/>
        <w:bottom w:val="single" w:sz="8" w:space="0" w:color="C3D1D8" w:themeColor="accent3" w:themeTint="BF"/>
        <w:right w:val="single" w:sz="8" w:space="0" w:color="C3D1D8" w:themeColor="accent3" w:themeTint="BF"/>
        <w:insideH w:val="single" w:sz="8" w:space="0" w:color="C3D1D8" w:themeColor="accent3" w:themeTint="BF"/>
      </w:tblBorders>
    </w:tblPr>
    <w:tblStylePr w:type="firstRow">
      <w:pPr>
        <w:spacing w:before="0" w:after="0" w:line="240" w:lineRule="auto"/>
      </w:pPr>
      <w:rPr>
        <w:b/>
        <w:bCs/>
        <w:color w:val="FFFFFF" w:themeColor="background1"/>
      </w:rPr>
      <w:tblPr/>
      <w:tcPr>
        <w:tcBorders>
          <w:top w:val="single" w:sz="8" w:space="0" w:color="C3D1D8" w:themeColor="accent3" w:themeTint="BF"/>
          <w:left w:val="single" w:sz="8" w:space="0" w:color="C3D1D8" w:themeColor="accent3" w:themeTint="BF"/>
          <w:bottom w:val="single" w:sz="8" w:space="0" w:color="C3D1D8" w:themeColor="accent3" w:themeTint="BF"/>
          <w:right w:val="single" w:sz="8" w:space="0" w:color="C3D1D8" w:themeColor="accent3" w:themeTint="BF"/>
          <w:insideH w:val="nil"/>
          <w:insideV w:val="nil"/>
        </w:tcBorders>
        <w:shd w:val="clear" w:color="auto" w:fill="AFC3CB" w:themeFill="accent3"/>
      </w:tcPr>
    </w:tblStylePr>
    <w:tblStylePr w:type="lastRow">
      <w:pPr>
        <w:spacing w:before="0" w:after="0" w:line="240" w:lineRule="auto"/>
      </w:pPr>
      <w:rPr>
        <w:b/>
        <w:bCs/>
      </w:rPr>
      <w:tblPr/>
      <w:tcPr>
        <w:tcBorders>
          <w:top w:val="double" w:sz="6" w:space="0" w:color="C3D1D8" w:themeColor="accent3" w:themeTint="BF"/>
          <w:left w:val="single" w:sz="8" w:space="0" w:color="C3D1D8" w:themeColor="accent3" w:themeTint="BF"/>
          <w:bottom w:val="single" w:sz="8" w:space="0" w:color="C3D1D8" w:themeColor="accent3" w:themeTint="BF"/>
          <w:right w:val="single" w:sz="8" w:space="0" w:color="C3D1D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BF0F2" w:themeFill="accent3" w:themeFillTint="3F"/>
      </w:tcPr>
    </w:tblStylePr>
    <w:tblStylePr w:type="band1Horz">
      <w:tblPr/>
      <w:tcPr>
        <w:tcBorders>
          <w:insideH w:val="nil"/>
          <w:insideV w:val="nil"/>
        </w:tcBorders>
        <w:shd w:val="clear" w:color="auto" w:fill="EBF0F2" w:themeFill="accent3" w:themeFillTint="3F"/>
      </w:tcPr>
    </w:tblStylePr>
    <w:tblStylePr w:type="band2Horz">
      <w:tblPr/>
      <w:tcPr>
        <w:tcBorders>
          <w:insideH w:val="nil"/>
          <w:insideV w:val="nil"/>
        </w:tcBorders>
      </w:tcPr>
    </w:tblStylePr>
  </w:style>
  <w:style w:type="table" w:customStyle="1" w:styleId="VPVILentele1">
    <w:name w:val="VPVI Lentele 1"/>
    <w:basedOn w:val="TableGrid"/>
    <w:uiPriority w:val="99"/>
    <w:rsid w:val="009E49F9"/>
    <w:pPr>
      <w:spacing w:line="276" w:lineRule="auto"/>
      <w:contextualSpacing/>
    </w:pPr>
    <w:rPr>
      <w:sz w:val="20"/>
    </w:rPr>
    <w:tblPr>
      <w:tblInd w:w="142" w:type="dxa"/>
    </w:tblPr>
    <w:tblStylePr w:type="firstRow">
      <w:pPr>
        <w:wordWrap/>
        <w:spacing w:line="276" w:lineRule="auto"/>
        <w:jc w:val="center"/>
      </w:pPr>
      <w:rPr>
        <w:rFonts w:asciiTheme="minorHAnsi" w:hAnsiTheme="minorHAnsi"/>
        <w:b/>
        <w:sz w:val="22"/>
      </w:rPr>
      <w:tblPr/>
      <w:tcPr>
        <w:shd w:val="clear" w:color="auto" w:fill="00505E"/>
      </w:tcPr>
    </w:tblStylePr>
    <w:tblStylePr w:type="lastRow">
      <w:pPr>
        <w:wordWrap/>
        <w:spacing w:beforeLines="0" w:beforeAutospacing="0" w:afterLines="0" w:afterAutospacing="0" w:line="276" w:lineRule="auto"/>
        <w:ind w:leftChars="0" w:left="0" w:rightChars="0" w:right="0"/>
        <w:jc w:val="left"/>
      </w:pPr>
      <w:rPr>
        <w:rFonts w:asciiTheme="minorHAnsi" w:hAnsiTheme="minorHAnsi"/>
        <w:sz w:val="18"/>
      </w:rPr>
      <w:tblPr/>
      <w:tcPr>
        <w:tcBorders>
          <w:top w:val="nil"/>
          <w:left w:val="nil"/>
          <w:bottom w:val="nil"/>
          <w:right w:val="nil"/>
          <w:insideH w:val="nil"/>
          <w:insideV w:val="nil"/>
          <w:tl2br w:val="nil"/>
          <w:tr2bl w:val="nil"/>
        </w:tcBorders>
      </w:tcPr>
    </w:tblStylePr>
    <w:tblStylePr w:type="firstCol">
      <w:pPr>
        <w:wordWrap/>
        <w:spacing w:line="276" w:lineRule="auto"/>
        <w:jc w:val="left"/>
      </w:pPr>
      <w:rPr>
        <w:rFonts w:asciiTheme="minorHAnsi" w:hAnsiTheme="minorHAnsi"/>
      </w:rPr>
    </w:tblStylePr>
    <w:tblStylePr w:type="lastCol">
      <w:pPr>
        <w:wordWrap/>
        <w:spacing w:line="276" w:lineRule="auto"/>
        <w:jc w:val="left"/>
      </w:pPr>
      <w:rPr>
        <w:rFonts w:asciiTheme="minorHAnsi" w:hAnsiTheme="minorHAnsi"/>
      </w:rPr>
    </w:tblStylePr>
    <w:tblStylePr w:type="band1Vert">
      <w:pPr>
        <w:jc w:val="left"/>
      </w:pPr>
      <w:rPr>
        <w:rFonts w:asciiTheme="minorHAnsi" w:hAnsiTheme="minorHAnsi"/>
      </w:rPr>
    </w:tblStylePr>
    <w:tblStylePr w:type="band2Vert">
      <w:pPr>
        <w:jc w:val="left"/>
      </w:pPr>
      <w:rPr>
        <w:rFonts w:asciiTheme="minorHAnsi" w:hAnsiTheme="minorHAnsi"/>
      </w:rPr>
    </w:tblStylePr>
    <w:tblStylePr w:type="band1Horz">
      <w:pPr>
        <w:wordWrap/>
        <w:spacing w:beforeLines="0" w:beforeAutospacing="0" w:afterLines="0" w:afterAutospacing="0" w:line="276" w:lineRule="auto"/>
        <w:jc w:val="left"/>
      </w:pPr>
      <w:rPr>
        <w:rFonts w:asciiTheme="minorHAnsi" w:hAnsiTheme="minorHAnsi"/>
        <w:b w:val="0"/>
        <w:sz w:val="20"/>
      </w:rPr>
      <w:tblPr/>
      <w:tcPr>
        <w:shd w:val="clear" w:color="auto" w:fill="F6E2A3"/>
      </w:tcPr>
    </w:tblStylePr>
    <w:tblStylePr w:type="band2Horz">
      <w:pPr>
        <w:wordWrap/>
        <w:spacing w:beforeLines="0" w:beforeAutospacing="0" w:afterLines="0" w:afterAutospacing="0" w:line="276" w:lineRule="auto"/>
        <w:ind w:firstLineChars="0" w:firstLine="0"/>
        <w:jc w:val="left"/>
      </w:pPr>
      <w:rPr>
        <w:rFonts w:asciiTheme="minorHAnsi" w:hAnsiTheme="minorHAnsi"/>
        <w:b w:val="0"/>
        <w:sz w:val="20"/>
      </w:rPr>
    </w:tblStylePr>
    <w:tblStylePr w:type="neCell">
      <w:pPr>
        <w:wordWrap/>
        <w:spacing w:beforeLines="0" w:beforeAutospacing="0" w:afterLines="0" w:afterAutospacing="0" w:line="276" w:lineRule="auto"/>
        <w:contextualSpacing/>
        <w:jc w:val="center"/>
      </w:pPr>
      <w:rPr>
        <w:rFonts w:asciiTheme="minorHAnsi" w:hAnsiTheme="minorHAnsi"/>
        <w:sz w:val="22"/>
      </w:rPr>
    </w:tblStylePr>
    <w:tblStylePr w:type="nwCell">
      <w:pPr>
        <w:jc w:val="left"/>
      </w:pPr>
      <w:rPr>
        <w:rFonts w:asciiTheme="minorHAnsi" w:hAnsiTheme="minorHAnsi"/>
      </w:rPr>
    </w:tblStylePr>
    <w:tblStylePr w:type="seCell">
      <w:pPr>
        <w:jc w:val="left"/>
      </w:pPr>
      <w:rPr>
        <w:rFonts w:asciiTheme="minorHAnsi" w:hAnsiTheme="minorHAnsi"/>
        <w:sz w:val="18"/>
      </w:rPr>
    </w:tblStylePr>
    <w:tblStylePr w:type="swCell">
      <w:pPr>
        <w:jc w:val="left"/>
      </w:pPr>
      <w:rPr>
        <w:rFonts w:asciiTheme="minorHAnsi" w:hAnsiTheme="minorHAnsi"/>
        <w:sz w:val="18"/>
      </w:rPr>
    </w:tblStylePr>
  </w:style>
  <w:style w:type="paragraph" w:styleId="EndnoteText">
    <w:name w:val="endnote text"/>
    <w:basedOn w:val="Normal"/>
    <w:link w:val="EndnoteTextChar"/>
    <w:uiPriority w:val="99"/>
    <w:semiHidden/>
    <w:unhideWhenUsed/>
    <w:rsid w:val="003348FA"/>
    <w:rPr>
      <w:sz w:val="20"/>
      <w:szCs w:val="20"/>
    </w:rPr>
  </w:style>
  <w:style w:type="paragraph" w:customStyle="1" w:styleId="ListParagraph2">
    <w:name w:val="List Paragraph 2"/>
    <w:basedOn w:val="ListParagraph"/>
    <w:qFormat/>
    <w:rsid w:val="00F20D53"/>
    <w:rPr>
      <w:bCs/>
      <w:sz w:val="20"/>
      <w:szCs w:val="20"/>
    </w:rPr>
  </w:style>
  <w:style w:type="character" w:customStyle="1" w:styleId="EndnoteTextChar">
    <w:name w:val="Endnote Text Char"/>
    <w:basedOn w:val="DefaultParagraphFont"/>
    <w:link w:val="EndnoteText"/>
    <w:uiPriority w:val="99"/>
    <w:semiHidden/>
    <w:rsid w:val="003348FA"/>
    <w:rPr>
      <w:sz w:val="20"/>
      <w:szCs w:val="20"/>
    </w:rPr>
  </w:style>
  <w:style w:type="table" w:customStyle="1" w:styleId="VPVILentele2">
    <w:name w:val="VPVI Lentele 2"/>
    <w:basedOn w:val="VPVILentele1"/>
    <w:uiPriority w:val="99"/>
    <w:rsid w:val="009E49F9"/>
    <w:tblPr/>
    <w:tblStylePr w:type="firstRow">
      <w:pPr>
        <w:wordWrap/>
        <w:spacing w:line="276" w:lineRule="auto"/>
        <w:jc w:val="center"/>
      </w:pPr>
      <w:rPr>
        <w:rFonts w:asciiTheme="minorHAnsi" w:hAnsiTheme="minorHAnsi"/>
        <w:b/>
        <w:sz w:val="22"/>
      </w:rPr>
      <w:tblPr/>
      <w:tcPr>
        <w:shd w:val="clear" w:color="auto" w:fill="00505E"/>
      </w:tcPr>
    </w:tblStylePr>
    <w:tblStylePr w:type="lastRow">
      <w:pPr>
        <w:wordWrap/>
        <w:spacing w:beforeLines="0" w:beforeAutospacing="0" w:afterLines="0" w:afterAutospacing="0" w:line="276" w:lineRule="auto"/>
        <w:ind w:leftChars="0" w:left="0" w:rightChars="0" w:right="0"/>
        <w:jc w:val="left"/>
      </w:pPr>
      <w:rPr>
        <w:rFonts w:asciiTheme="minorHAnsi" w:hAnsiTheme="minorHAnsi"/>
        <w:b w:val="0"/>
        <w:sz w:val="18"/>
      </w:rPr>
      <w:tblPr/>
      <w:tcPr>
        <w:tcBorders>
          <w:top w:val="nil"/>
          <w:left w:val="nil"/>
          <w:bottom w:val="nil"/>
          <w:right w:val="nil"/>
          <w:insideH w:val="nil"/>
          <w:insideV w:val="nil"/>
          <w:tl2br w:val="nil"/>
          <w:tr2bl w:val="nil"/>
        </w:tcBorders>
      </w:tcPr>
    </w:tblStylePr>
    <w:tblStylePr w:type="firstCol">
      <w:pPr>
        <w:wordWrap/>
        <w:spacing w:line="276" w:lineRule="auto"/>
        <w:jc w:val="left"/>
      </w:pPr>
      <w:rPr>
        <w:rFonts w:asciiTheme="minorHAnsi" w:hAnsiTheme="minorHAnsi"/>
      </w:rPr>
    </w:tblStylePr>
    <w:tblStylePr w:type="lastCol">
      <w:pPr>
        <w:wordWrap/>
        <w:spacing w:line="276" w:lineRule="auto"/>
        <w:jc w:val="left"/>
      </w:pPr>
      <w:rPr>
        <w:rFonts w:asciiTheme="minorHAnsi" w:hAnsiTheme="minorHAnsi"/>
      </w:rPr>
    </w:tblStylePr>
    <w:tblStylePr w:type="band1Vert">
      <w:pPr>
        <w:jc w:val="left"/>
      </w:pPr>
      <w:rPr>
        <w:rFonts w:asciiTheme="minorHAnsi" w:hAnsiTheme="minorHAnsi"/>
      </w:rPr>
    </w:tblStylePr>
    <w:tblStylePr w:type="band2Vert">
      <w:pPr>
        <w:jc w:val="left"/>
      </w:pPr>
      <w:rPr>
        <w:rFonts w:asciiTheme="minorHAnsi" w:hAnsiTheme="minorHAnsi"/>
      </w:rPr>
    </w:tblStylePr>
    <w:tblStylePr w:type="band1Horz">
      <w:pPr>
        <w:wordWrap/>
        <w:spacing w:beforeLines="0" w:beforeAutospacing="0" w:afterLines="0" w:afterAutospacing="0" w:line="276" w:lineRule="auto"/>
        <w:jc w:val="left"/>
      </w:pPr>
      <w:rPr>
        <w:rFonts w:asciiTheme="minorHAnsi" w:hAnsiTheme="minorHAnsi"/>
        <w:b w:val="0"/>
        <w:sz w:val="20"/>
      </w:rPr>
      <w:tblPr/>
      <w:tcPr>
        <w:shd w:val="clear" w:color="auto" w:fill="F6E2A3"/>
      </w:tcPr>
    </w:tblStylePr>
    <w:tblStylePr w:type="band2Horz">
      <w:pPr>
        <w:wordWrap/>
        <w:spacing w:beforeLines="0" w:beforeAutospacing="0" w:afterLines="0" w:afterAutospacing="0" w:line="276" w:lineRule="auto"/>
        <w:ind w:firstLineChars="0" w:firstLine="0"/>
        <w:jc w:val="left"/>
      </w:pPr>
      <w:rPr>
        <w:rFonts w:asciiTheme="minorHAnsi" w:hAnsiTheme="minorHAnsi"/>
        <w:b w:val="0"/>
        <w:sz w:val="20"/>
      </w:rPr>
    </w:tblStylePr>
    <w:tblStylePr w:type="neCell">
      <w:pPr>
        <w:wordWrap/>
        <w:spacing w:beforeLines="0" w:beforeAutospacing="0" w:afterLines="0" w:afterAutospacing="0" w:line="276" w:lineRule="auto"/>
        <w:contextualSpacing/>
        <w:jc w:val="center"/>
      </w:pPr>
      <w:rPr>
        <w:rFonts w:asciiTheme="minorHAnsi" w:hAnsiTheme="minorHAnsi"/>
        <w:sz w:val="22"/>
      </w:rPr>
    </w:tblStylePr>
    <w:tblStylePr w:type="nwCell">
      <w:pPr>
        <w:jc w:val="left"/>
      </w:pPr>
      <w:rPr>
        <w:rFonts w:asciiTheme="minorHAnsi" w:hAnsiTheme="minorHAnsi"/>
      </w:rPr>
    </w:tblStylePr>
    <w:tblStylePr w:type="seCell">
      <w:pPr>
        <w:jc w:val="left"/>
      </w:pPr>
      <w:rPr>
        <w:rFonts w:ascii="Lucida Sans Unicode" w:hAnsi="Lucida Sans Unicode"/>
        <w:sz w:val="18"/>
      </w:rPr>
    </w:tblStylePr>
    <w:tblStylePr w:type="swCell">
      <w:pPr>
        <w:jc w:val="left"/>
      </w:pPr>
      <w:rPr>
        <w:rFonts w:ascii="Lucida Sans Unicode" w:hAnsi="Lucida Sans Unicode"/>
        <w:sz w:val="18"/>
      </w:rPr>
    </w:tblStylePr>
  </w:style>
  <w:style w:type="character" w:customStyle="1" w:styleId="Heading5Char">
    <w:name w:val="Heading 5 Char"/>
    <w:basedOn w:val="DefaultParagraphFont"/>
    <w:link w:val="Heading5"/>
    <w:uiPriority w:val="9"/>
    <w:rsid w:val="005058B5"/>
    <w:rPr>
      <w:rFonts w:ascii="Cambria" w:eastAsiaTheme="majorEastAsia" w:hAnsi="Cambria" w:cstheme="majorBidi"/>
      <w:bCs/>
      <w:color w:val="00505E"/>
      <w:sz w:val="24"/>
      <w:szCs w:val="26"/>
    </w:rPr>
  </w:style>
  <w:style w:type="character" w:customStyle="1" w:styleId="Heading6Char">
    <w:name w:val="Heading 6 Char"/>
    <w:basedOn w:val="DefaultParagraphFont"/>
    <w:link w:val="Heading6"/>
    <w:uiPriority w:val="9"/>
    <w:rsid w:val="00F20D53"/>
    <w:rPr>
      <w:rFonts w:ascii="Cambria" w:eastAsiaTheme="majorEastAsia" w:hAnsi="Cambria" w:cstheme="majorBidi"/>
      <w:bCs/>
      <w:color w:val="00505E"/>
      <w:sz w:val="24"/>
      <w:szCs w:val="26"/>
    </w:rPr>
  </w:style>
  <w:style w:type="paragraph" w:styleId="TOC4">
    <w:name w:val="toc 4"/>
    <w:basedOn w:val="Normal"/>
    <w:next w:val="Normal"/>
    <w:autoRedefine/>
    <w:uiPriority w:val="39"/>
    <w:unhideWhenUsed/>
    <w:rsid w:val="00B6422A"/>
    <w:pPr>
      <w:tabs>
        <w:tab w:val="left" w:pos="2041"/>
        <w:tab w:val="left" w:pos="2155"/>
        <w:tab w:val="right" w:leader="dot" w:pos="10076"/>
      </w:tabs>
      <w:spacing w:after="100"/>
      <w:ind w:left="794"/>
    </w:pPr>
    <w:rPr>
      <w:noProof/>
      <w:color w:val="343435"/>
      <w:sz w:val="22"/>
    </w:rPr>
  </w:style>
  <w:style w:type="paragraph" w:styleId="Index1">
    <w:name w:val="index 1"/>
    <w:basedOn w:val="Normal"/>
    <w:next w:val="Normal"/>
    <w:autoRedefine/>
    <w:uiPriority w:val="99"/>
    <w:semiHidden/>
    <w:unhideWhenUsed/>
    <w:rsid w:val="00427E9A"/>
    <w:pPr>
      <w:ind w:left="240" w:hanging="240"/>
    </w:pPr>
  </w:style>
  <w:style w:type="paragraph" w:styleId="TOC5">
    <w:name w:val="toc 5"/>
    <w:basedOn w:val="Normal"/>
    <w:next w:val="Normal"/>
    <w:autoRedefine/>
    <w:uiPriority w:val="39"/>
    <w:unhideWhenUsed/>
    <w:rsid w:val="00F20D53"/>
    <w:pPr>
      <w:tabs>
        <w:tab w:val="left" w:pos="2722"/>
        <w:tab w:val="left" w:pos="2835"/>
        <w:tab w:val="right" w:leader="dot" w:pos="10076"/>
      </w:tabs>
      <w:spacing w:after="100"/>
      <w:ind w:left="1588"/>
    </w:pPr>
    <w:rPr>
      <w:color w:val="343435"/>
      <w:sz w:val="22"/>
    </w:rPr>
  </w:style>
  <w:style w:type="character" w:customStyle="1" w:styleId="Heading7Char">
    <w:name w:val="Heading 7 Char"/>
    <w:basedOn w:val="DefaultParagraphFont"/>
    <w:link w:val="Heading7"/>
    <w:uiPriority w:val="9"/>
    <w:rsid w:val="00F20D53"/>
    <w:rPr>
      <w:rFonts w:ascii="Cambria" w:eastAsiaTheme="majorEastAsia" w:hAnsi="Cambria" w:cstheme="majorBidi"/>
      <w:b/>
      <w:iCs/>
      <w:noProof/>
      <w:sz w:val="20"/>
    </w:rPr>
  </w:style>
  <w:style w:type="character" w:styleId="IntenseEmphasis">
    <w:name w:val="Intense Emphasis"/>
    <w:basedOn w:val="DefaultParagraphFont"/>
    <w:uiPriority w:val="21"/>
    <w:qFormat/>
    <w:rsid w:val="00B71153"/>
    <w:rPr>
      <w:b/>
      <w:bCs/>
      <w:i/>
      <w:iCs/>
      <w:color w:val="175F6E"/>
    </w:rPr>
  </w:style>
  <w:style w:type="paragraph" w:styleId="IntenseQuote">
    <w:name w:val="Intense Quote"/>
    <w:basedOn w:val="Normal"/>
    <w:next w:val="Normal"/>
    <w:link w:val="IntenseQuoteChar"/>
    <w:uiPriority w:val="30"/>
    <w:qFormat/>
    <w:rsid w:val="00B71153"/>
    <w:pPr>
      <w:pBdr>
        <w:bottom w:val="single" w:sz="4" w:space="4" w:color="175F6E"/>
      </w:pBdr>
      <w:spacing w:before="200" w:after="280"/>
      <w:ind w:left="936" w:right="936"/>
    </w:pPr>
    <w:rPr>
      <w:b/>
      <w:bCs/>
      <w:i/>
      <w:iCs/>
      <w:color w:val="175F6E"/>
    </w:rPr>
  </w:style>
  <w:style w:type="character" w:customStyle="1" w:styleId="IntenseQuoteChar">
    <w:name w:val="Intense Quote Char"/>
    <w:basedOn w:val="DefaultParagraphFont"/>
    <w:link w:val="IntenseQuote"/>
    <w:uiPriority w:val="30"/>
    <w:rsid w:val="00B71153"/>
    <w:rPr>
      <w:b/>
      <w:bCs/>
      <w:i/>
      <w:iCs/>
      <w:color w:val="175F6E"/>
      <w:sz w:val="24"/>
    </w:rPr>
  </w:style>
  <w:style w:type="character" w:styleId="SubtleReference">
    <w:name w:val="Subtle Reference"/>
    <w:basedOn w:val="DefaultParagraphFont"/>
    <w:uiPriority w:val="31"/>
    <w:qFormat/>
    <w:rsid w:val="00B71153"/>
    <w:rPr>
      <w:smallCaps/>
      <w:color w:val="175F6E"/>
      <w:u w:val="single"/>
    </w:rPr>
  </w:style>
  <w:style w:type="character" w:styleId="IntenseReference">
    <w:name w:val="Intense Reference"/>
    <w:basedOn w:val="DefaultParagraphFont"/>
    <w:uiPriority w:val="32"/>
    <w:qFormat/>
    <w:rsid w:val="00B71153"/>
    <w:rPr>
      <w:b/>
      <w:bCs/>
      <w:smallCaps/>
      <w:color w:val="175F6E"/>
      <w:spacing w:val="5"/>
      <w:u w:val="single"/>
    </w:rPr>
  </w:style>
  <w:style w:type="paragraph" w:styleId="FootnoteText">
    <w:name w:val="footnote text"/>
    <w:aliases w:val="Footnote Text Char Char,Footnote,Footnote Text Char Char Char Char Char Char,Footnote Text Char Char Char Char Char,Footnote text,fn,Footnote Text Blue,Footnote Text Blue Char Char Char Char,stile 1,Footnote1,Footnote2,Footnote3"/>
    <w:basedOn w:val="Normal"/>
    <w:link w:val="FootnoteTextChar"/>
    <w:uiPriority w:val="99"/>
    <w:unhideWhenUsed/>
    <w:qFormat/>
    <w:rsid w:val="00120F42"/>
    <w:rPr>
      <w:sz w:val="20"/>
      <w:szCs w:val="20"/>
    </w:rPr>
  </w:style>
  <w:style w:type="character" w:customStyle="1" w:styleId="FootnoteTextChar">
    <w:name w:val="Footnote Text Char"/>
    <w:aliases w:val="Footnote Text Char Char Char,Footnote Char,Footnote Text Char Char Char Char Char Char Char,Footnote Text Char Char Char Char Char Char1,Footnote text Char,fn Char,Footnote Text Blue Char,Footnote Text Blue Char Char Char Char Char"/>
    <w:basedOn w:val="DefaultParagraphFont"/>
    <w:link w:val="FootnoteText"/>
    <w:uiPriority w:val="99"/>
    <w:rsid w:val="00120F42"/>
    <w:rPr>
      <w:sz w:val="20"/>
      <w:szCs w:val="20"/>
    </w:rPr>
  </w:style>
  <w:style w:type="character" w:styleId="FootnoteReference">
    <w:name w:val="footnote reference"/>
    <w:aliases w:val="Footnote Reference Number,BVI fnr,Footnote symbol,Footnote anchor,Times 10 Point,Exposant 3 Point,Footnote reference number,Voetnootverwijzing,Footnote number,fr,Footnotemark,FR,Footnotemark1,Footnotemark2,FR1,Footnotemark3,FR2,SUPER"/>
    <w:basedOn w:val="DefaultParagraphFont"/>
    <w:uiPriority w:val="99"/>
    <w:unhideWhenUsed/>
    <w:qFormat/>
    <w:rsid w:val="00120F42"/>
    <w:rPr>
      <w:vertAlign w:val="superscript"/>
    </w:rPr>
  </w:style>
  <w:style w:type="character" w:styleId="EndnoteReference">
    <w:name w:val="endnote reference"/>
    <w:basedOn w:val="DefaultParagraphFont"/>
    <w:uiPriority w:val="99"/>
    <w:semiHidden/>
    <w:unhideWhenUsed/>
    <w:rsid w:val="003348FA"/>
    <w:rPr>
      <w:vertAlign w:val="superscript"/>
    </w:rPr>
  </w:style>
  <w:style w:type="table" w:customStyle="1" w:styleId="LightShading1">
    <w:name w:val="Light Shading1"/>
    <w:basedOn w:val="TableNormal"/>
    <w:uiPriority w:val="60"/>
    <w:rsid w:val="0059017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403156"/>
    <w:pPr>
      <w:spacing w:after="0" w:line="240" w:lineRule="auto"/>
    </w:pPr>
    <w:rPr>
      <w:color w:val="7597A5" w:themeColor="accent3" w:themeShade="BF"/>
    </w:rPr>
    <w:tblPr>
      <w:tblStyleRowBandSize w:val="1"/>
      <w:tblStyleColBandSize w:val="1"/>
      <w:tblBorders>
        <w:top w:val="single" w:sz="8" w:space="0" w:color="AFC3CB" w:themeColor="accent3"/>
        <w:bottom w:val="single" w:sz="8" w:space="0" w:color="AFC3CB" w:themeColor="accent3"/>
      </w:tblBorders>
    </w:tblPr>
    <w:tblStylePr w:type="firstRow">
      <w:pPr>
        <w:spacing w:before="0" w:after="0" w:line="240" w:lineRule="auto"/>
      </w:pPr>
      <w:rPr>
        <w:b/>
        <w:bCs/>
      </w:rPr>
      <w:tblPr/>
      <w:tcPr>
        <w:tcBorders>
          <w:top w:val="single" w:sz="8" w:space="0" w:color="AFC3CB" w:themeColor="accent3"/>
          <w:left w:val="nil"/>
          <w:bottom w:val="single" w:sz="8" w:space="0" w:color="AFC3CB" w:themeColor="accent3"/>
          <w:right w:val="nil"/>
          <w:insideH w:val="nil"/>
          <w:insideV w:val="nil"/>
        </w:tcBorders>
      </w:tcPr>
    </w:tblStylePr>
    <w:tblStylePr w:type="lastRow">
      <w:pPr>
        <w:spacing w:before="0" w:after="0" w:line="240" w:lineRule="auto"/>
      </w:pPr>
      <w:rPr>
        <w:b/>
        <w:bCs/>
      </w:rPr>
      <w:tblPr/>
      <w:tcPr>
        <w:tcBorders>
          <w:top w:val="single" w:sz="8" w:space="0" w:color="AFC3CB" w:themeColor="accent3"/>
          <w:left w:val="nil"/>
          <w:bottom w:val="single" w:sz="8" w:space="0" w:color="AFC3C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F2" w:themeFill="accent3" w:themeFillTint="3F"/>
      </w:tcPr>
    </w:tblStylePr>
    <w:tblStylePr w:type="band1Horz">
      <w:tblPr/>
      <w:tcPr>
        <w:tcBorders>
          <w:left w:val="nil"/>
          <w:right w:val="nil"/>
          <w:insideH w:val="nil"/>
          <w:insideV w:val="nil"/>
        </w:tcBorders>
        <w:shd w:val="clear" w:color="auto" w:fill="EBF0F2" w:themeFill="accent3" w:themeFillTint="3F"/>
      </w:tcPr>
    </w:tblStylePr>
  </w:style>
  <w:style w:type="character" w:customStyle="1" w:styleId="Heading8Char">
    <w:name w:val="Heading 8 Char"/>
    <w:basedOn w:val="DefaultParagraphFont"/>
    <w:link w:val="Heading8"/>
    <w:uiPriority w:val="9"/>
    <w:rsid w:val="00F20D53"/>
    <w:rPr>
      <w:rFonts w:ascii="Cambria" w:eastAsiaTheme="majorEastAsia" w:hAnsi="Cambr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20D53"/>
    <w:rPr>
      <w:rFonts w:ascii="Cambria" w:eastAsiaTheme="majorEastAsia" w:hAnsi="Cambria" w:cstheme="majorBidi"/>
      <w:i/>
      <w:iCs/>
      <w:color w:val="404040" w:themeColor="text1" w:themeTint="BF"/>
      <w:sz w:val="20"/>
      <w:szCs w:val="20"/>
    </w:rPr>
  </w:style>
  <w:style w:type="character" w:styleId="SubtleEmphasis">
    <w:name w:val="Subtle Emphasis"/>
    <w:basedOn w:val="DefaultParagraphFont"/>
    <w:uiPriority w:val="19"/>
    <w:qFormat/>
    <w:rsid w:val="00F20D53"/>
    <w:rPr>
      <w:i/>
      <w:iCs/>
      <w:color w:val="808080" w:themeColor="text1" w:themeTint="7F"/>
    </w:rPr>
  </w:style>
  <w:style w:type="character" w:styleId="Emphasis">
    <w:name w:val="Emphasis"/>
    <w:basedOn w:val="DefaultParagraphFont"/>
    <w:uiPriority w:val="20"/>
    <w:qFormat/>
    <w:rsid w:val="00F20D53"/>
    <w:rPr>
      <w:i/>
      <w:iCs/>
    </w:rPr>
  </w:style>
  <w:style w:type="character" w:styleId="Strong">
    <w:name w:val="Strong"/>
    <w:basedOn w:val="DefaultParagraphFont"/>
    <w:uiPriority w:val="22"/>
    <w:qFormat/>
    <w:rsid w:val="00F20D53"/>
    <w:rPr>
      <w:b/>
      <w:bCs/>
    </w:rPr>
  </w:style>
  <w:style w:type="paragraph" w:styleId="Quote">
    <w:name w:val="Quote"/>
    <w:basedOn w:val="Normal"/>
    <w:next w:val="Normal"/>
    <w:link w:val="QuoteChar"/>
    <w:uiPriority w:val="29"/>
    <w:qFormat/>
    <w:rsid w:val="00F20D53"/>
    <w:rPr>
      <w:i/>
      <w:iCs/>
      <w:color w:val="000000" w:themeColor="text1"/>
    </w:rPr>
  </w:style>
  <w:style w:type="character" w:customStyle="1" w:styleId="QuoteChar">
    <w:name w:val="Quote Char"/>
    <w:basedOn w:val="DefaultParagraphFont"/>
    <w:link w:val="Quote"/>
    <w:uiPriority w:val="29"/>
    <w:rsid w:val="00F20D53"/>
    <w:rPr>
      <w:rFonts w:ascii="Cambria" w:hAnsi="Cambria"/>
      <w:i/>
      <w:iCs/>
      <w:color w:val="000000" w:themeColor="text1"/>
      <w:sz w:val="24"/>
    </w:rPr>
  </w:style>
  <w:style w:type="character" w:styleId="BookTitle">
    <w:name w:val="Book Title"/>
    <w:basedOn w:val="DefaultParagraphFont"/>
    <w:uiPriority w:val="33"/>
    <w:qFormat/>
    <w:rsid w:val="00F20D53"/>
    <w:rPr>
      <w:b/>
      <w:bCs/>
      <w:smallCaps/>
      <w:spacing w:val="5"/>
    </w:rPr>
  </w:style>
  <w:style w:type="table" w:customStyle="1" w:styleId="LightShading-Accent11">
    <w:name w:val="Light Shading - Accent 11"/>
    <w:basedOn w:val="TableNormal"/>
    <w:uiPriority w:val="60"/>
    <w:rsid w:val="008A2BFC"/>
    <w:pPr>
      <w:spacing w:after="0" w:line="240" w:lineRule="auto"/>
    </w:pPr>
    <w:rPr>
      <w:color w:val="FBA925" w:themeColor="accent1" w:themeShade="BF"/>
    </w:rPr>
    <w:tblPr>
      <w:tblStyleRowBandSize w:val="1"/>
      <w:tblStyleColBandSize w:val="1"/>
      <w:tblBorders>
        <w:top w:val="single" w:sz="8" w:space="0" w:color="FDCF85" w:themeColor="accent1"/>
        <w:bottom w:val="single" w:sz="8" w:space="0" w:color="FDCF85" w:themeColor="accent1"/>
      </w:tblBorders>
    </w:tblPr>
    <w:tblStylePr w:type="firstRow">
      <w:pPr>
        <w:spacing w:before="0" w:after="0" w:line="240" w:lineRule="auto"/>
      </w:pPr>
      <w:rPr>
        <w:b/>
        <w:bCs/>
      </w:rPr>
      <w:tblPr/>
      <w:tcPr>
        <w:tcBorders>
          <w:top w:val="single" w:sz="8" w:space="0" w:color="FDCF85" w:themeColor="accent1"/>
          <w:left w:val="nil"/>
          <w:bottom w:val="single" w:sz="8" w:space="0" w:color="FDCF85" w:themeColor="accent1"/>
          <w:right w:val="nil"/>
          <w:insideH w:val="nil"/>
          <w:insideV w:val="nil"/>
        </w:tcBorders>
      </w:tcPr>
    </w:tblStylePr>
    <w:tblStylePr w:type="lastRow">
      <w:pPr>
        <w:spacing w:before="0" w:after="0" w:line="240" w:lineRule="auto"/>
      </w:pPr>
      <w:rPr>
        <w:b/>
        <w:bCs/>
      </w:rPr>
      <w:tblPr/>
      <w:tcPr>
        <w:tcBorders>
          <w:top w:val="single" w:sz="8" w:space="0" w:color="FDCF85" w:themeColor="accent1"/>
          <w:left w:val="nil"/>
          <w:bottom w:val="single" w:sz="8" w:space="0" w:color="FDCF8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3E0" w:themeFill="accent1" w:themeFillTint="3F"/>
      </w:tcPr>
    </w:tblStylePr>
    <w:tblStylePr w:type="band1Horz">
      <w:tblPr/>
      <w:tcPr>
        <w:tcBorders>
          <w:left w:val="nil"/>
          <w:right w:val="nil"/>
          <w:insideH w:val="nil"/>
          <w:insideV w:val="nil"/>
        </w:tcBorders>
        <w:shd w:val="clear" w:color="auto" w:fill="FEF3E0" w:themeFill="accent1" w:themeFillTint="3F"/>
      </w:tcPr>
    </w:tblStylePr>
  </w:style>
  <w:style w:type="table" w:styleId="LightShading-Accent2">
    <w:name w:val="Light Shading Accent 2"/>
    <w:basedOn w:val="TableNormal"/>
    <w:uiPriority w:val="60"/>
    <w:rsid w:val="00FE755D"/>
    <w:pPr>
      <w:spacing w:after="0" w:line="240" w:lineRule="auto"/>
    </w:pPr>
    <w:rPr>
      <w:color w:val="D98B05" w:themeColor="accent2" w:themeShade="BF"/>
    </w:rPr>
    <w:tblPr>
      <w:tblStyleRowBandSize w:val="1"/>
      <w:tblStyleColBandSize w:val="1"/>
      <w:tblBorders>
        <w:top w:val="single" w:sz="8" w:space="0" w:color="FAB02F" w:themeColor="accent2"/>
        <w:bottom w:val="single" w:sz="8" w:space="0" w:color="FAB02F" w:themeColor="accent2"/>
      </w:tblBorders>
    </w:tblPr>
    <w:tblStylePr w:type="firstRow">
      <w:pPr>
        <w:spacing w:before="0" w:after="0" w:line="240" w:lineRule="auto"/>
      </w:pPr>
      <w:rPr>
        <w:b/>
        <w:bCs/>
      </w:rPr>
      <w:tblPr/>
      <w:tcPr>
        <w:tcBorders>
          <w:top w:val="single" w:sz="8" w:space="0" w:color="FAB02F" w:themeColor="accent2"/>
          <w:left w:val="nil"/>
          <w:bottom w:val="single" w:sz="8" w:space="0" w:color="FAB02F" w:themeColor="accent2"/>
          <w:right w:val="nil"/>
          <w:insideH w:val="nil"/>
          <w:insideV w:val="nil"/>
        </w:tcBorders>
      </w:tcPr>
    </w:tblStylePr>
    <w:tblStylePr w:type="lastRow">
      <w:pPr>
        <w:spacing w:before="0" w:after="0" w:line="240" w:lineRule="auto"/>
      </w:pPr>
      <w:rPr>
        <w:b/>
        <w:bCs/>
      </w:rPr>
      <w:tblPr/>
      <w:tcPr>
        <w:tcBorders>
          <w:top w:val="single" w:sz="8" w:space="0" w:color="FAB02F" w:themeColor="accent2"/>
          <w:left w:val="nil"/>
          <w:bottom w:val="single" w:sz="8" w:space="0" w:color="FAB02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BCB" w:themeFill="accent2" w:themeFillTint="3F"/>
      </w:tcPr>
    </w:tblStylePr>
    <w:tblStylePr w:type="band1Horz">
      <w:tblPr/>
      <w:tcPr>
        <w:tcBorders>
          <w:left w:val="nil"/>
          <w:right w:val="nil"/>
          <w:insideH w:val="nil"/>
          <w:insideV w:val="nil"/>
        </w:tcBorders>
        <w:shd w:val="clear" w:color="auto" w:fill="FDEBCB" w:themeFill="accent2" w:themeFillTint="3F"/>
      </w:tcPr>
    </w:tblStylePr>
  </w:style>
  <w:style w:type="table" w:styleId="LightShading-Accent4">
    <w:name w:val="Light Shading Accent 4"/>
    <w:basedOn w:val="TableNormal"/>
    <w:uiPriority w:val="60"/>
    <w:rsid w:val="00FE755D"/>
    <w:pPr>
      <w:spacing w:after="0" w:line="240" w:lineRule="auto"/>
    </w:pPr>
    <w:rPr>
      <w:color w:val="244C56" w:themeColor="accent4" w:themeShade="BF"/>
    </w:rPr>
    <w:tblPr>
      <w:tblStyleRowBandSize w:val="1"/>
      <w:tblStyleColBandSize w:val="1"/>
      <w:tblBorders>
        <w:top w:val="single" w:sz="8" w:space="0" w:color="306673" w:themeColor="accent4"/>
        <w:bottom w:val="single" w:sz="8" w:space="0" w:color="306673" w:themeColor="accent4"/>
      </w:tblBorders>
    </w:tblPr>
    <w:tblStylePr w:type="firstRow">
      <w:pPr>
        <w:spacing w:before="0" w:after="0" w:line="240" w:lineRule="auto"/>
      </w:pPr>
      <w:rPr>
        <w:b/>
        <w:bCs/>
      </w:rPr>
      <w:tblPr/>
      <w:tcPr>
        <w:tcBorders>
          <w:top w:val="single" w:sz="8" w:space="0" w:color="306673" w:themeColor="accent4"/>
          <w:left w:val="nil"/>
          <w:bottom w:val="single" w:sz="8" w:space="0" w:color="306673" w:themeColor="accent4"/>
          <w:right w:val="nil"/>
          <w:insideH w:val="nil"/>
          <w:insideV w:val="nil"/>
        </w:tcBorders>
      </w:tcPr>
    </w:tblStylePr>
    <w:tblStylePr w:type="lastRow">
      <w:pPr>
        <w:spacing w:before="0" w:after="0" w:line="240" w:lineRule="auto"/>
      </w:pPr>
      <w:rPr>
        <w:b/>
        <w:bCs/>
      </w:rPr>
      <w:tblPr/>
      <w:tcPr>
        <w:tcBorders>
          <w:top w:val="single" w:sz="8" w:space="0" w:color="306673" w:themeColor="accent4"/>
          <w:left w:val="nil"/>
          <w:bottom w:val="single" w:sz="8" w:space="0" w:color="30667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EE5" w:themeFill="accent4" w:themeFillTint="3F"/>
      </w:tcPr>
    </w:tblStylePr>
    <w:tblStylePr w:type="band1Horz">
      <w:tblPr/>
      <w:tcPr>
        <w:tcBorders>
          <w:left w:val="nil"/>
          <w:right w:val="nil"/>
          <w:insideH w:val="nil"/>
          <w:insideV w:val="nil"/>
        </w:tcBorders>
        <w:shd w:val="clear" w:color="auto" w:fill="C2DEE5" w:themeFill="accent4" w:themeFillTint="3F"/>
      </w:tcPr>
    </w:tblStylePr>
  </w:style>
  <w:style w:type="table" w:styleId="LightShading-Accent5">
    <w:name w:val="Light Shading Accent 5"/>
    <w:basedOn w:val="TableNormal"/>
    <w:uiPriority w:val="60"/>
    <w:rsid w:val="00FE755D"/>
    <w:pPr>
      <w:spacing w:after="0" w:line="240" w:lineRule="auto"/>
    </w:pPr>
    <w:rPr>
      <w:color w:val="013138" w:themeColor="accent5" w:themeShade="BF"/>
    </w:rPr>
    <w:tblPr>
      <w:tblStyleRowBandSize w:val="1"/>
      <w:tblStyleColBandSize w:val="1"/>
      <w:tblBorders>
        <w:top w:val="single" w:sz="8" w:space="0" w:color="02424C" w:themeColor="accent5"/>
        <w:bottom w:val="single" w:sz="8" w:space="0" w:color="02424C" w:themeColor="accent5"/>
      </w:tblBorders>
    </w:tblPr>
    <w:tblStylePr w:type="firstRow">
      <w:pPr>
        <w:spacing w:before="0" w:after="0" w:line="240" w:lineRule="auto"/>
      </w:pPr>
      <w:rPr>
        <w:b/>
        <w:bCs/>
      </w:rPr>
      <w:tblPr/>
      <w:tcPr>
        <w:tcBorders>
          <w:top w:val="single" w:sz="8" w:space="0" w:color="02424C" w:themeColor="accent5"/>
          <w:left w:val="nil"/>
          <w:bottom w:val="single" w:sz="8" w:space="0" w:color="02424C" w:themeColor="accent5"/>
          <w:right w:val="nil"/>
          <w:insideH w:val="nil"/>
          <w:insideV w:val="nil"/>
        </w:tcBorders>
      </w:tcPr>
    </w:tblStylePr>
    <w:tblStylePr w:type="lastRow">
      <w:pPr>
        <w:spacing w:before="0" w:after="0" w:line="240" w:lineRule="auto"/>
      </w:pPr>
      <w:rPr>
        <w:b/>
        <w:bCs/>
      </w:rPr>
      <w:tblPr/>
      <w:tcPr>
        <w:tcBorders>
          <w:top w:val="single" w:sz="8" w:space="0" w:color="02424C" w:themeColor="accent5"/>
          <w:left w:val="nil"/>
          <w:bottom w:val="single" w:sz="8" w:space="0" w:color="0242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EEFC" w:themeFill="accent5" w:themeFillTint="3F"/>
      </w:tcPr>
    </w:tblStylePr>
    <w:tblStylePr w:type="band1Horz">
      <w:tblPr/>
      <w:tcPr>
        <w:tcBorders>
          <w:left w:val="nil"/>
          <w:right w:val="nil"/>
          <w:insideH w:val="nil"/>
          <w:insideV w:val="nil"/>
        </w:tcBorders>
        <w:shd w:val="clear" w:color="auto" w:fill="96EEFC" w:themeFill="accent5" w:themeFillTint="3F"/>
      </w:tcPr>
    </w:tblStylePr>
  </w:style>
  <w:style w:type="table" w:styleId="LightShading-Accent6">
    <w:name w:val="Light Shading Accent 6"/>
    <w:basedOn w:val="TableNormal"/>
    <w:uiPriority w:val="60"/>
    <w:rsid w:val="00FE755D"/>
    <w:pPr>
      <w:spacing w:after="0" w:line="240" w:lineRule="auto"/>
    </w:pPr>
    <w:rPr>
      <w:color w:val="FCB54D" w:themeColor="accent6" w:themeShade="BF"/>
    </w:rPr>
    <w:tblPr>
      <w:tblStyleRowBandSize w:val="1"/>
      <w:tblStyleColBandSize w:val="1"/>
      <w:tblBorders>
        <w:top w:val="single" w:sz="8" w:space="0" w:color="FEE3BB" w:themeColor="accent6"/>
        <w:bottom w:val="single" w:sz="8" w:space="0" w:color="FEE3BB" w:themeColor="accent6"/>
      </w:tblBorders>
    </w:tblPr>
    <w:tblStylePr w:type="firstRow">
      <w:pPr>
        <w:spacing w:before="0" w:after="0" w:line="240" w:lineRule="auto"/>
      </w:pPr>
      <w:rPr>
        <w:b/>
        <w:bCs/>
      </w:rPr>
      <w:tblPr/>
      <w:tcPr>
        <w:tcBorders>
          <w:top w:val="single" w:sz="8" w:space="0" w:color="FEE3BB" w:themeColor="accent6"/>
          <w:left w:val="nil"/>
          <w:bottom w:val="single" w:sz="8" w:space="0" w:color="FEE3BB" w:themeColor="accent6"/>
          <w:right w:val="nil"/>
          <w:insideH w:val="nil"/>
          <w:insideV w:val="nil"/>
        </w:tcBorders>
      </w:tcPr>
    </w:tblStylePr>
    <w:tblStylePr w:type="lastRow">
      <w:pPr>
        <w:spacing w:before="0" w:after="0" w:line="240" w:lineRule="auto"/>
      </w:pPr>
      <w:rPr>
        <w:b/>
        <w:bCs/>
      </w:rPr>
      <w:tblPr/>
      <w:tcPr>
        <w:tcBorders>
          <w:top w:val="single" w:sz="8" w:space="0" w:color="FEE3BB" w:themeColor="accent6"/>
          <w:left w:val="nil"/>
          <w:bottom w:val="single" w:sz="8" w:space="0" w:color="FEE3B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7ED" w:themeFill="accent6" w:themeFillTint="3F"/>
      </w:tcPr>
    </w:tblStylePr>
    <w:tblStylePr w:type="band1Horz">
      <w:tblPr/>
      <w:tcPr>
        <w:tcBorders>
          <w:left w:val="nil"/>
          <w:right w:val="nil"/>
          <w:insideH w:val="nil"/>
          <w:insideV w:val="nil"/>
        </w:tcBorders>
        <w:shd w:val="clear" w:color="auto" w:fill="FEF7ED" w:themeFill="accent6" w:themeFillTint="3F"/>
      </w:tcPr>
    </w:tblStylePr>
  </w:style>
  <w:style w:type="table" w:customStyle="1" w:styleId="LightList1">
    <w:name w:val="Light List1"/>
    <w:basedOn w:val="TableNormal"/>
    <w:uiPriority w:val="61"/>
    <w:rsid w:val="00FE755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FE755D"/>
    <w:pPr>
      <w:spacing w:after="0" w:line="240" w:lineRule="auto"/>
    </w:pPr>
    <w:tblPr>
      <w:tblStyleRowBandSize w:val="1"/>
      <w:tblStyleColBandSize w:val="1"/>
      <w:tblBorders>
        <w:top w:val="single" w:sz="8" w:space="0" w:color="FDCF85" w:themeColor="accent1"/>
        <w:left w:val="single" w:sz="8" w:space="0" w:color="FDCF85" w:themeColor="accent1"/>
        <w:bottom w:val="single" w:sz="8" w:space="0" w:color="FDCF85" w:themeColor="accent1"/>
        <w:right w:val="single" w:sz="8" w:space="0" w:color="FDCF85" w:themeColor="accent1"/>
      </w:tblBorders>
    </w:tblPr>
    <w:tblStylePr w:type="firstRow">
      <w:pPr>
        <w:spacing w:before="0" w:after="0" w:line="240" w:lineRule="auto"/>
      </w:pPr>
      <w:rPr>
        <w:b/>
        <w:bCs/>
        <w:color w:val="FFFFFF" w:themeColor="background1"/>
      </w:rPr>
      <w:tblPr/>
      <w:tcPr>
        <w:shd w:val="clear" w:color="auto" w:fill="FDCF85" w:themeFill="accent1"/>
      </w:tcPr>
    </w:tblStylePr>
    <w:tblStylePr w:type="lastRow">
      <w:pPr>
        <w:spacing w:before="0" w:after="0" w:line="240" w:lineRule="auto"/>
      </w:pPr>
      <w:rPr>
        <w:b/>
        <w:bCs/>
      </w:rPr>
      <w:tblPr/>
      <w:tcPr>
        <w:tcBorders>
          <w:top w:val="double" w:sz="6" w:space="0" w:color="FDCF85" w:themeColor="accent1"/>
          <w:left w:val="single" w:sz="8" w:space="0" w:color="FDCF85" w:themeColor="accent1"/>
          <w:bottom w:val="single" w:sz="8" w:space="0" w:color="FDCF85" w:themeColor="accent1"/>
          <w:right w:val="single" w:sz="8" w:space="0" w:color="FDCF85" w:themeColor="accent1"/>
        </w:tcBorders>
      </w:tcPr>
    </w:tblStylePr>
    <w:tblStylePr w:type="firstCol">
      <w:rPr>
        <w:b/>
        <w:bCs/>
      </w:rPr>
    </w:tblStylePr>
    <w:tblStylePr w:type="lastCol">
      <w:rPr>
        <w:b/>
        <w:bCs/>
      </w:rPr>
    </w:tblStylePr>
    <w:tblStylePr w:type="band1Vert">
      <w:tblPr/>
      <w:tcPr>
        <w:tcBorders>
          <w:top w:val="single" w:sz="8" w:space="0" w:color="FDCF85" w:themeColor="accent1"/>
          <w:left w:val="single" w:sz="8" w:space="0" w:color="FDCF85" w:themeColor="accent1"/>
          <w:bottom w:val="single" w:sz="8" w:space="0" w:color="FDCF85" w:themeColor="accent1"/>
          <w:right w:val="single" w:sz="8" w:space="0" w:color="FDCF85" w:themeColor="accent1"/>
        </w:tcBorders>
      </w:tcPr>
    </w:tblStylePr>
    <w:tblStylePr w:type="band1Horz">
      <w:tblPr/>
      <w:tcPr>
        <w:tcBorders>
          <w:top w:val="single" w:sz="8" w:space="0" w:color="FDCF85" w:themeColor="accent1"/>
          <w:left w:val="single" w:sz="8" w:space="0" w:color="FDCF85" w:themeColor="accent1"/>
          <w:bottom w:val="single" w:sz="8" w:space="0" w:color="FDCF85" w:themeColor="accent1"/>
          <w:right w:val="single" w:sz="8" w:space="0" w:color="FDCF85" w:themeColor="accent1"/>
        </w:tcBorders>
      </w:tcPr>
    </w:tblStylePr>
  </w:style>
  <w:style w:type="table" w:styleId="LightList-Accent2">
    <w:name w:val="Light List Accent 2"/>
    <w:basedOn w:val="TableNormal"/>
    <w:uiPriority w:val="61"/>
    <w:rsid w:val="00FE755D"/>
    <w:pPr>
      <w:spacing w:after="0" w:line="240" w:lineRule="auto"/>
    </w:pPr>
    <w:tblPr>
      <w:tblStyleRowBandSize w:val="1"/>
      <w:tblStyleColBandSize w:val="1"/>
      <w:tblBorders>
        <w:top w:val="single" w:sz="8" w:space="0" w:color="FAB02F" w:themeColor="accent2"/>
        <w:left w:val="single" w:sz="8" w:space="0" w:color="FAB02F" w:themeColor="accent2"/>
        <w:bottom w:val="single" w:sz="8" w:space="0" w:color="FAB02F" w:themeColor="accent2"/>
        <w:right w:val="single" w:sz="8" w:space="0" w:color="FAB02F" w:themeColor="accent2"/>
      </w:tblBorders>
    </w:tblPr>
    <w:tblStylePr w:type="firstRow">
      <w:pPr>
        <w:spacing w:before="0" w:after="0" w:line="240" w:lineRule="auto"/>
      </w:pPr>
      <w:rPr>
        <w:b/>
        <w:bCs/>
        <w:color w:val="FFFFFF" w:themeColor="background1"/>
      </w:rPr>
      <w:tblPr/>
      <w:tcPr>
        <w:shd w:val="clear" w:color="auto" w:fill="FAB02F" w:themeFill="accent2"/>
      </w:tcPr>
    </w:tblStylePr>
    <w:tblStylePr w:type="lastRow">
      <w:pPr>
        <w:spacing w:before="0" w:after="0" w:line="240" w:lineRule="auto"/>
      </w:pPr>
      <w:rPr>
        <w:b/>
        <w:bCs/>
      </w:rPr>
      <w:tblPr/>
      <w:tcPr>
        <w:tcBorders>
          <w:top w:val="double" w:sz="6" w:space="0" w:color="FAB02F" w:themeColor="accent2"/>
          <w:left w:val="single" w:sz="8" w:space="0" w:color="FAB02F" w:themeColor="accent2"/>
          <w:bottom w:val="single" w:sz="8" w:space="0" w:color="FAB02F" w:themeColor="accent2"/>
          <w:right w:val="single" w:sz="8" w:space="0" w:color="FAB02F" w:themeColor="accent2"/>
        </w:tcBorders>
      </w:tcPr>
    </w:tblStylePr>
    <w:tblStylePr w:type="firstCol">
      <w:rPr>
        <w:b/>
        <w:bCs/>
      </w:rPr>
    </w:tblStylePr>
    <w:tblStylePr w:type="lastCol">
      <w:rPr>
        <w:b/>
        <w:bCs/>
      </w:rPr>
    </w:tblStylePr>
    <w:tblStylePr w:type="band1Vert">
      <w:tblPr/>
      <w:tcPr>
        <w:tcBorders>
          <w:top w:val="single" w:sz="8" w:space="0" w:color="FAB02F" w:themeColor="accent2"/>
          <w:left w:val="single" w:sz="8" w:space="0" w:color="FAB02F" w:themeColor="accent2"/>
          <w:bottom w:val="single" w:sz="8" w:space="0" w:color="FAB02F" w:themeColor="accent2"/>
          <w:right w:val="single" w:sz="8" w:space="0" w:color="FAB02F" w:themeColor="accent2"/>
        </w:tcBorders>
      </w:tcPr>
    </w:tblStylePr>
    <w:tblStylePr w:type="band1Horz">
      <w:tblPr/>
      <w:tcPr>
        <w:tcBorders>
          <w:top w:val="single" w:sz="8" w:space="0" w:color="FAB02F" w:themeColor="accent2"/>
          <w:left w:val="single" w:sz="8" w:space="0" w:color="FAB02F" w:themeColor="accent2"/>
          <w:bottom w:val="single" w:sz="8" w:space="0" w:color="FAB02F" w:themeColor="accent2"/>
          <w:right w:val="single" w:sz="8" w:space="0" w:color="FAB02F" w:themeColor="accent2"/>
        </w:tcBorders>
      </w:tcPr>
    </w:tblStylePr>
  </w:style>
  <w:style w:type="table" w:styleId="LightList-Accent3">
    <w:name w:val="Light List Accent 3"/>
    <w:basedOn w:val="TableNormal"/>
    <w:uiPriority w:val="61"/>
    <w:rsid w:val="00FE755D"/>
    <w:pPr>
      <w:spacing w:after="0" w:line="240" w:lineRule="auto"/>
    </w:pPr>
    <w:tblPr>
      <w:tblStyleRowBandSize w:val="1"/>
      <w:tblStyleColBandSize w:val="1"/>
      <w:tblBorders>
        <w:top w:val="single" w:sz="8" w:space="0" w:color="AFC3CB" w:themeColor="accent3"/>
        <w:left w:val="single" w:sz="8" w:space="0" w:color="AFC3CB" w:themeColor="accent3"/>
        <w:bottom w:val="single" w:sz="8" w:space="0" w:color="AFC3CB" w:themeColor="accent3"/>
        <w:right w:val="single" w:sz="8" w:space="0" w:color="AFC3CB" w:themeColor="accent3"/>
      </w:tblBorders>
    </w:tblPr>
    <w:tblStylePr w:type="firstRow">
      <w:pPr>
        <w:spacing w:before="0" w:after="0" w:line="240" w:lineRule="auto"/>
      </w:pPr>
      <w:rPr>
        <w:b/>
        <w:bCs/>
        <w:color w:val="FFFFFF" w:themeColor="background1"/>
      </w:rPr>
      <w:tblPr/>
      <w:tcPr>
        <w:shd w:val="clear" w:color="auto" w:fill="AFC3CB" w:themeFill="accent3"/>
      </w:tcPr>
    </w:tblStylePr>
    <w:tblStylePr w:type="lastRow">
      <w:pPr>
        <w:spacing w:before="0" w:after="0" w:line="240" w:lineRule="auto"/>
      </w:pPr>
      <w:rPr>
        <w:b/>
        <w:bCs/>
      </w:rPr>
      <w:tblPr/>
      <w:tcPr>
        <w:tcBorders>
          <w:top w:val="double" w:sz="6" w:space="0" w:color="AFC3CB" w:themeColor="accent3"/>
          <w:left w:val="single" w:sz="8" w:space="0" w:color="AFC3CB" w:themeColor="accent3"/>
          <w:bottom w:val="single" w:sz="8" w:space="0" w:color="AFC3CB" w:themeColor="accent3"/>
          <w:right w:val="single" w:sz="8" w:space="0" w:color="AFC3CB" w:themeColor="accent3"/>
        </w:tcBorders>
      </w:tcPr>
    </w:tblStylePr>
    <w:tblStylePr w:type="firstCol">
      <w:rPr>
        <w:b/>
        <w:bCs/>
      </w:rPr>
    </w:tblStylePr>
    <w:tblStylePr w:type="lastCol">
      <w:rPr>
        <w:b/>
        <w:bCs/>
      </w:rPr>
    </w:tblStylePr>
    <w:tblStylePr w:type="band1Vert">
      <w:tblPr/>
      <w:tcPr>
        <w:tcBorders>
          <w:top w:val="single" w:sz="8" w:space="0" w:color="AFC3CB" w:themeColor="accent3"/>
          <w:left w:val="single" w:sz="8" w:space="0" w:color="AFC3CB" w:themeColor="accent3"/>
          <w:bottom w:val="single" w:sz="8" w:space="0" w:color="AFC3CB" w:themeColor="accent3"/>
          <w:right w:val="single" w:sz="8" w:space="0" w:color="AFC3CB" w:themeColor="accent3"/>
        </w:tcBorders>
      </w:tcPr>
    </w:tblStylePr>
    <w:tblStylePr w:type="band1Horz">
      <w:tblPr/>
      <w:tcPr>
        <w:tcBorders>
          <w:top w:val="single" w:sz="8" w:space="0" w:color="AFC3CB" w:themeColor="accent3"/>
          <w:left w:val="single" w:sz="8" w:space="0" w:color="AFC3CB" w:themeColor="accent3"/>
          <w:bottom w:val="single" w:sz="8" w:space="0" w:color="AFC3CB" w:themeColor="accent3"/>
          <w:right w:val="single" w:sz="8" w:space="0" w:color="AFC3CB" w:themeColor="accent3"/>
        </w:tcBorders>
      </w:tcPr>
    </w:tblStylePr>
  </w:style>
  <w:style w:type="table" w:styleId="LightGrid-Accent3">
    <w:name w:val="Light Grid Accent 3"/>
    <w:basedOn w:val="TableNormal"/>
    <w:uiPriority w:val="62"/>
    <w:rsid w:val="00FE755D"/>
    <w:pPr>
      <w:spacing w:after="0" w:line="240" w:lineRule="auto"/>
    </w:pPr>
    <w:tblPr>
      <w:tblStyleRowBandSize w:val="1"/>
      <w:tblStyleColBandSize w:val="1"/>
      <w:tblBorders>
        <w:top w:val="single" w:sz="8" w:space="0" w:color="AFC3CB" w:themeColor="accent3"/>
        <w:left w:val="single" w:sz="8" w:space="0" w:color="AFC3CB" w:themeColor="accent3"/>
        <w:bottom w:val="single" w:sz="8" w:space="0" w:color="AFC3CB" w:themeColor="accent3"/>
        <w:right w:val="single" w:sz="8" w:space="0" w:color="AFC3CB" w:themeColor="accent3"/>
        <w:insideH w:val="single" w:sz="8" w:space="0" w:color="AFC3CB" w:themeColor="accent3"/>
        <w:insideV w:val="single" w:sz="8" w:space="0" w:color="AFC3C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C3CB" w:themeColor="accent3"/>
          <w:left w:val="single" w:sz="8" w:space="0" w:color="AFC3CB" w:themeColor="accent3"/>
          <w:bottom w:val="single" w:sz="18" w:space="0" w:color="AFC3CB" w:themeColor="accent3"/>
          <w:right w:val="single" w:sz="8" w:space="0" w:color="AFC3CB" w:themeColor="accent3"/>
          <w:insideH w:val="nil"/>
          <w:insideV w:val="single" w:sz="8" w:space="0" w:color="AFC3C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C3CB" w:themeColor="accent3"/>
          <w:left w:val="single" w:sz="8" w:space="0" w:color="AFC3CB" w:themeColor="accent3"/>
          <w:bottom w:val="single" w:sz="8" w:space="0" w:color="AFC3CB" w:themeColor="accent3"/>
          <w:right w:val="single" w:sz="8" w:space="0" w:color="AFC3CB" w:themeColor="accent3"/>
          <w:insideH w:val="nil"/>
          <w:insideV w:val="single" w:sz="8" w:space="0" w:color="AFC3C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C3CB" w:themeColor="accent3"/>
          <w:left w:val="single" w:sz="8" w:space="0" w:color="AFC3CB" w:themeColor="accent3"/>
          <w:bottom w:val="single" w:sz="8" w:space="0" w:color="AFC3CB" w:themeColor="accent3"/>
          <w:right w:val="single" w:sz="8" w:space="0" w:color="AFC3CB" w:themeColor="accent3"/>
        </w:tcBorders>
      </w:tcPr>
    </w:tblStylePr>
    <w:tblStylePr w:type="band1Vert">
      <w:tblPr/>
      <w:tcPr>
        <w:tcBorders>
          <w:top w:val="single" w:sz="8" w:space="0" w:color="AFC3CB" w:themeColor="accent3"/>
          <w:left w:val="single" w:sz="8" w:space="0" w:color="AFC3CB" w:themeColor="accent3"/>
          <w:bottom w:val="single" w:sz="8" w:space="0" w:color="AFC3CB" w:themeColor="accent3"/>
          <w:right w:val="single" w:sz="8" w:space="0" w:color="AFC3CB" w:themeColor="accent3"/>
        </w:tcBorders>
        <w:shd w:val="clear" w:color="auto" w:fill="EBF0F2" w:themeFill="accent3" w:themeFillTint="3F"/>
      </w:tcPr>
    </w:tblStylePr>
    <w:tblStylePr w:type="band1Horz">
      <w:tblPr/>
      <w:tcPr>
        <w:tcBorders>
          <w:top w:val="single" w:sz="8" w:space="0" w:color="AFC3CB" w:themeColor="accent3"/>
          <w:left w:val="single" w:sz="8" w:space="0" w:color="AFC3CB" w:themeColor="accent3"/>
          <w:bottom w:val="single" w:sz="8" w:space="0" w:color="AFC3CB" w:themeColor="accent3"/>
          <w:right w:val="single" w:sz="8" w:space="0" w:color="AFC3CB" w:themeColor="accent3"/>
          <w:insideV w:val="single" w:sz="8" w:space="0" w:color="AFC3CB" w:themeColor="accent3"/>
        </w:tcBorders>
        <w:shd w:val="clear" w:color="auto" w:fill="EBF0F2" w:themeFill="accent3" w:themeFillTint="3F"/>
      </w:tcPr>
    </w:tblStylePr>
    <w:tblStylePr w:type="band2Horz">
      <w:tblPr/>
      <w:tcPr>
        <w:tcBorders>
          <w:top w:val="single" w:sz="8" w:space="0" w:color="AFC3CB" w:themeColor="accent3"/>
          <w:left w:val="single" w:sz="8" w:space="0" w:color="AFC3CB" w:themeColor="accent3"/>
          <w:bottom w:val="single" w:sz="8" w:space="0" w:color="AFC3CB" w:themeColor="accent3"/>
          <w:right w:val="single" w:sz="8" w:space="0" w:color="AFC3CB" w:themeColor="accent3"/>
          <w:insideV w:val="single" w:sz="8" w:space="0" w:color="AFC3CB" w:themeColor="accent3"/>
        </w:tcBorders>
      </w:tcPr>
    </w:tblStylePr>
  </w:style>
  <w:style w:type="table" w:styleId="LightGrid-Accent2">
    <w:name w:val="Light Grid Accent 2"/>
    <w:basedOn w:val="TableNormal"/>
    <w:uiPriority w:val="62"/>
    <w:rsid w:val="00FE755D"/>
    <w:pPr>
      <w:spacing w:after="0" w:line="240" w:lineRule="auto"/>
    </w:pPr>
    <w:tblPr>
      <w:tblStyleRowBandSize w:val="1"/>
      <w:tblStyleColBandSize w:val="1"/>
      <w:tblBorders>
        <w:top w:val="single" w:sz="8" w:space="0" w:color="FAB02F" w:themeColor="accent2"/>
        <w:left w:val="single" w:sz="8" w:space="0" w:color="FAB02F" w:themeColor="accent2"/>
        <w:bottom w:val="single" w:sz="8" w:space="0" w:color="FAB02F" w:themeColor="accent2"/>
        <w:right w:val="single" w:sz="8" w:space="0" w:color="FAB02F" w:themeColor="accent2"/>
        <w:insideH w:val="single" w:sz="8" w:space="0" w:color="FAB02F" w:themeColor="accent2"/>
        <w:insideV w:val="single" w:sz="8" w:space="0" w:color="FAB02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B02F" w:themeColor="accent2"/>
          <w:left w:val="single" w:sz="8" w:space="0" w:color="FAB02F" w:themeColor="accent2"/>
          <w:bottom w:val="single" w:sz="18" w:space="0" w:color="FAB02F" w:themeColor="accent2"/>
          <w:right w:val="single" w:sz="8" w:space="0" w:color="FAB02F" w:themeColor="accent2"/>
          <w:insideH w:val="nil"/>
          <w:insideV w:val="single" w:sz="8" w:space="0" w:color="FAB02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B02F" w:themeColor="accent2"/>
          <w:left w:val="single" w:sz="8" w:space="0" w:color="FAB02F" w:themeColor="accent2"/>
          <w:bottom w:val="single" w:sz="8" w:space="0" w:color="FAB02F" w:themeColor="accent2"/>
          <w:right w:val="single" w:sz="8" w:space="0" w:color="FAB02F" w:themeColor="accent2"/>
          <w:insideH w:val="nil"/>
          <w:insideV w:val="single" w:sz="8" w:space="0" w:color="FAB02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B02F" w:themeColor="accent2"/>
          <w:left w:val="single" w:sz="8" w:space="0" w:color="FAB02F" w:themeColor="accent2"/>
          <w:bottom w:val="single" w:sz="8" w:space="0" w:color="FAB02F" w:themeColor="accent2"/>
          <w:right w:val="single" w:sz="8" w:space="0" w:color="FAB02F" w:themeColor="accent2"/>
        </w:tcBorders>
      </w:tcPr>
    </w:tblStylePr>
    <w:tblStylePr w:type="band1Vert">
      <w:tblPr/>
      <w:tcPr>
        <w:tcBorders>
          <w:top w:val="single" w:sz="8" w:space="0" w:color="FAB02F" w:themeColor="accent2"/>
          <w:left w:val="single" w:sz="8" w:space="0" w:color="FAB02F" w:themeColor="accent2"/>
          <w:bottom w:val="single" w:sz="8" w:space="0" w:color="FAB02F" w:themeColor="accent2"/>
          <w:right w:val="single" w:sz="8" w:space="0" w:color="FAB02F" w:themeColor="accent2"/>
        </w:tcBorders>
        <w:shd w:val="clear" w:color="auto" w:fill="FDEBCB" w:themeFill="accent2" w:themeFillTint="3F"/>
      </w:tcPr>
    </w:tblStylePr>
    <w:tblStylePr w:type="band1Horz">
      <w:tblPr/>
      <w:tcPr>
        <w:tcBorders>
          <w:top w:val="single" w:sz="8" w:space="0" w:color="FAB02F" w:themeColor="accent2"/>
          <w:left w:val="single" w:sz="8" w:space="0" w:color="FAB02F" w:themeColor="accent2"/>
          <w:bottom w:val="single" w:sz="8" w:space="0" w:color="FAB02F" w:themeColor="accent2"/>
          <w:right w:val="single" w:sz="8" w:space="0" w:color="FAB02F" w:themeColor="accent2"/>
          <w:insideV w:val="single" w:sz="8" w:space="0" w:color="FAB02F" w:themeColor="accent2"/>
        </w:tcBorders>
        <w:shd w:val="clear" w:color="auto" w:fill="FDEBCB" w:themeFill="accent2" w:themeFillTint="3F"/>
      </w:tcPr>
    </w:tblStylePr>
    <w:tblStylePr w:type="band2Horz">
      <w:tblPr/>
      <w:tcPr>
        <w:tcBorders>
          <w:top w:val="single" w:sz="8" w:space="0" w:color="FAB02F" w:themeColor="accent2"/>
          <w:left w:val="single" w:sz="8" w:space="0" w:color="FAB02F" w:themeColor="accent2"/>
          <w:bottom w:val="single" w:sz="8" w:space="0" w:color="FAB02F" w:themeColor="accent2"/>
          <w:right w:val="single" w:sz="8" w:space="0" w:color="FAB02F" w:themeColor="accent2"/>
          <w:insideV w:val="single" w:sz="8" w:space="0" w:color="FAB02F" w:themeColor="accent2"/>
        </w:tcBorders>
      </w:tcPr>
    </w:tblStylePr>
  </w:style>
  <w:style w:type="table" w:customStyle="1" w:styleId="LightGrid-Accent11">
    <w:name w:val="Light Grid - Accent 11"/>
    <w:basedOn w:val="TableNormal"/>
    <w:uiPriority w:val="62"/>
    <w:rsid w:val="00FE755D"/>
    <w:pPr>
      <w:spacing w:after="0" w:line="240" w:lineRule="auto"/>
    </w:pPr>
    <w:tblPr>
      <w:tblStyleRowBandSize w:val="1"/>
      <w:tblStyleColBandSize w:val="1"/>
      <w:tblBorders>
        <w:top w:val="single" w:sz="8" w:space="0" w:color="FDCF85" w:themeColor="accent1"/>
        <w:left w:val="single" w:sz="8" w:space="0" w:color="FDCF85" w:themeColor="accent1"/>
        <w:bottom w:val="single" w:sz="8" w:space="0" w:color="FDCF85" w:themeColor="accent1"/>
        <w:right w:val="single" w:sz="8" w:space="0" w:color="FDCF85" w:themeColor="accent1"/>
        <w:insideH w:val="single" w:sz="8" w:space="0" w:color="FDCF85" w:themeColor="accent1"/>
        <w:insideV w:val="single" w:sz="8" w:space="0" w:color="FDCF8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CF85" w:themeColor="accent1"/>
          <w:left w:val="single" w:sz="8" w:space="0" w:color="FDCF85" w:themeColor="accent1"/>
          <w:bottom w:val="single" w:sz="18" w:space="0" w:color="FDCF85" w:themeColor="accent1"/>
          <w:right w:val="single" w:sz="8" w:space="0" w:color="FDCF85" w:themeColor="accent1"/>
          <w:insideH w:val="nil"/>
          <w:insideV w:val="single" w:sz="8" w:space="0" w:color="FDCF8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CF85" w:themeColor="accent1"/>
          <w:left w:val="single" w:sz="8" w:space="0" w:color="FDCF85" w:themeColor="accent1"/>
          <w:bottom w:val="single" w:sz="8" w:space="0" w:color="FDCF85" w:themeColor="accent1"/>
          <w:right w:val="single" w:sz="8" w:space="0" w:color="FDCF85" w:themeColor="accent1"/>
          <w:insideH w:val="nil"/>
          <w:insideV w:val="single" w:sz="8" w:space="0" w:color="FDCF8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CF85" w:themeColor="accent1"/>
          <w:left w:val="single" w:sz="8" w:space="0" w:color="FDCF85" w:themeColor="accent1"/>
          <w:bottom w:val="single" w:sz="8" w:space="0" w:color="FDCF85" w:themeColor="accent1"/>
          <w:right w:val="single" w:sz="8" w:space="0" w:color="FDCF85" w:themeColor="accent1"/>
        </w:tcBorders>
      </w:tcPr>
    </w:tblStylePr>
    <w:tblStylePr w:type="band1Vert">
      <w:tblPr/>
      <w:tcPr>
        <w:tcBorders>
          <w:top w:val="single" w:sz="8" w:space="0" w:color="FDCF85" w:themeColor="accent1"/>
          <w:left w:val="single" w:sz="8" w:space="0" w:color="FDCF85" w:themeColor="accent1"/>
          <w:bottom w:val="single" w:sz="8" w:space="0" w:color="FDCF85" w:themeColor="accent1"/>
          <w:right w:val="single" w:sz="8" w:space="0" w:color="FDCF85" w:themeColor="accent1"/>
        </w:tcBorders>
        <w:shd w:val="clear" w:color="auto" w:fill="FEF3E0" w:themeFill="accent1" w:themeFillTint="3F"/>
      </w:tcPr>
    </w:tblStylePr>
    <w:tblStylePr w:type="band1Horz">
      <w:tblPr/>
      <w:tcPr>
        <w:tcBorders>
          <w:top w:val="single" w:sz="8" w:space="0" w:color="FDCF85" w:themeColor="accent1"/>
          <w:left w:val="single" w:sz="8" w:space="0" w:color="FDCF85" w:themeColor="accent1"/>
          <w:bottom w:val="single" w:sz="8" w:space="0" w:color="FDCF85" w:themeColor="accent1"/>
          <w:right w:val="single" w:sz="8" w:space="0" w:color="FDCF85" w:themeColor="accent1"/>
          <w:insideV w:val="single" w:sz="8" w:space="0" w:color="FDCF85" w:themeColor="accent1"/>
        </w:tcBorders>
        <w:shd w:val="clear" w:color="auto" w:fill="FEF3E0" w:themeFill="accent1" w:themeFillTint="3F"/>
      </w:tcPr>
    </w:tblStylePr>
    <w:tblStylePr w:type="band2Horz">
      <w:tblPr/>
      <w:tcPr>
        <w:tcBorders>
          <w:top w:val="single" w:sz="8" w:space="0" w:color="FDCF85" w:themeColor="accent1"/>
          <w:left w:val="single" w:sz="8" w:space="0" w:color="FDCF85" w:themeColor="accent1"/>
          <w:bottom w:val="single" w:sz="8" w:space="0" w:color="FDCF85" w:themeColor="accent1"/>
          <w:right w:val="single" w:sz="8" w:space="0" w:color="FDCF85" w:themeColor="accent1"/>
          <w:insideV w:val="single" w:sz="8" w:space="0" w:color="FDCF85" w:themeColor="accent1"/>
        </w:tcBorders>
      </w:tcPr>
    </w:tblStylePr>
  </w:style>
  <w:style w:type="table" w:customStyle="1" w:styleId="LightGrid1">
    <w:name w:val="Light Grid1"/>
    <w:basedOn w:val="TableNormal"/>
    <w:uiPriority w:val="62"/>
    <w:rsid w:val="00FE755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Accent6">
    <w:name w:val="Light List Accent 6"/>
    <w:basedOn w:val="TableNormal"/>
    <w:uiPriority w:val="61"/>
    <w:rsid w:val="00FE755D"/>
    <w:pPr>
      <w:spacing w:after="0" w:line="240" w:lineRule="auto"/>
    </w:pPr>
    <w:tblPr>
      <w:tblStyleRowBandSize w:val="1"/>
      <w:tblStyleColBandSize w:val="1"/>
      <w:tblBorders>
        <w:top w:val="single" w:sz="8" w:space="0" w:color="FEE3BB" w:themeColor="accent6"/>
        <w:left w:val="single" w:sz="8" w:space="0" w:color="FEE3BB" w:themeColor="accent6"/>
        <w:bottom w:val="single" w:sz="8" w:space="0" w:color="FEE3BB" w:themeColor="accent6"/>
        <w:right w:val="single" w:sz="8" w:space="0" w:color="FEE3BB" w:themeColor="accent6"/>
      </w:tblBorders>
    </w:tblPr>
    <w:tblStylePr w:type="firstRow">
      <w:pPr>
        <w:spacing w:before="0" w:after="0" w:line="240" w:lineRule="auto"/>
      </w:pPr>
      <w:rPr>
        <w:b/>
        <w:bCs/>
        <w:color w:val="FFFFFF" w:themeColor="background1"/>
      </w:rPr>
      <w:tblPr/>
      <w:tcPr>
        <w:shd w:val="clear" w:color="auto" w:fill="FEE3BB" w:themeFill="accent6"/>
      </w:tcPr>
    </w:tblStylePr>
    <w:tblStylePr w:type="lastRow">
      <w:pPr>
        <w:spacing w:before="0" w:after="0" w:line="240" w:lineRule="auto"/>
      </w:pPr>
      <w:rPr>
        <w:b/>
        <w:bCs/>
      </w:rPr>
      <w:tblPr/>
      <w:tcPr>
        <w:tcBorders>
          <w:top w:val="double" w:sz="6" w:space="0" w:color="FEE3BB" w:themeColor="accent6"/>
          <w:left w:val="single" w:sz="8" w:space="0" w:color="FEE3BB" w:themeColor="accent6"/>
          <w:bottom w:val="single" w:sz="8" w:space="0" w:color="FEE3BB" w:themeColor="accent6"/>
          <w:right w:val="single" w:sz="8" w:space="0" w:color="FEE3BB" w:themeColor="accent6"/>
        </w:tcBorders>
      </w:tcPr>
    </w:tblStylePr>
    <w:tblStylePr w:type="firstCol">
      <w:rPr>
        <w:b/>
        <w:bCs/>
      </w:rPr>
    </w:tblStylePr>
    <w:tblStylePr w:type="lastCol">
      <w:rPr>
        <w:b/>
        <w:bCs/>
      </w:rPr>
    </w:tblStylePr>
    <w:tblStylePr w:type="band1Vert">
      <w:tblPr/>
      <w:tcPr>
        <w:tcBorders>
          <w:top w:val="single" w:sz="8" w:space="0" w:color="FEE3BB" w:themeColor="accent6"/>
          <w:left w:val="single" w:sz="8" w:space="0" w:color="FEE3BB" w:themeColor="accent6"/>
          <w:bottom w:val="single" w:sz="8" w:space="0" w:color="FEE3BB" w:themeColor="accent6"/>
          <w:right w:val="single" w:sz="8" w:space="0" w:color="FEE3BB" w:themeColor="accent6"/>
        </w:tcBorders>
      </w:tcPr>
    </w:tblStylePr>
    <w:tblStylePr w:type="band1Horz">
      <w:tblPr/>
      <w:tcPr>
        <w:tcBorders>
          <w:top w:val="single" w:sz="8" w:space="0" w:color="FEE3BB" w:themeColor="accent6"/>
          <w:left w:val="single" w:sz="8" w:space="0" w:color="FEE3BB" w:themeColor="accent6"/>
          <w:bottom w:val="single" w:sz="8" w:space="0" w:color="FEE3BB" w:themeColor="accent6"/>
          <w:right w:val="single" w:sz="8" w:space="0" w:color="FEE3BB" w:themeColor="accent6"/>
        </w:tcBorders>
      </w:tcPr>
    </w:tblStylePr>
  </w:style>
  <w:style w:type="table" w:styleId="LightList-Accent5">
    <w:name w:val="Light List Accent 5"/>
    <w:basedOn w:val="TableNormal"/>
    <w:uiPriority w:val="61"/>
    <w:rsid w:val="00FE755D"/>
    <w:pPr>
      <w:spacing w:after="0" w:line="240" w:lineRule="auto"/>
    </w:pPr>
    <w:tblPr>
      <w:tblStyleRowBandSize w:val="1"/>
      <w:tblStyleColBandSize w:val="1"/>
      <w:tblBorders>
        <w:top w:val="single" w:sz="8" w:space="0" w:color="02424C" w:themeColor="accent5"/>
        <w:left w:val="single" w:sz="8" w:space="0" w:color="02424C" w:themeColor="accent5"/>
        <w:bottom w:val="single" w:sz="8" w:space="0" w:color="02424C" w:themeColor="accent5"/>
        <w:right w:val="single" w:sz="8" w:space="0" w:color="02424C" w:themeColor="accent5"/>
      </w:tblBorders>
    </w:tblPr>
    <w:tblStylePr w:type="firstRow">
      <w:pPr>
        <w:spacing w:before="0" w:after="0" w:line="240" w:lineRule="auto"/>
      </w:pPr>
      <w:rPr>
        <w:b/>
        <w:bCs/>
        <w:color w:val="FFFFFF" w:themeColor="background1"/>
      </w:rPr>
      <w:tblPr/>
      <w:tcPr>
        <w:shd w:val="clear" w:color="auto" w:fill="02424C" w:themeFill="accent5"/>
      </w:tcPr>
    </w:tblStylePr>
    <w:tblStylePr w:type="lastRow">
      <w:pPr>
        <w:spacing w:before="0" w:after="0" w:line="240" w:lineRule="auto"/>
      </w:pPr>
      <w:rPr>
        <w:b/>
        <w:bCs/>
      </w:rPr>
      <w:tblPr/>
      <w:tcPr>
        <w:tcBorders>
          <w:top w:val="double" w:sz="6" w:space="0" w:color="02424C" w:themeColor="accent5"/>
          <w:left w:val="single" w:sz="8" w:space="0" w:color="02424C" w:themeColor="accent5"/>
          <w:bottom w:val="single" w:sz="8" w:space="0" w:color="02424C" w:themeColor="accent5"/>
          <w:right w:val="single" w:sz="8" w:space="0" w:color="02424C" w:themeColor="accent5"/>
        </w:tcBorders>
      </w:tcPr>
    </w:tblStylePr>
    <w:tblStylePr w:type="firstCol">
      <w:rPr>
        <w:b/>
        <w:bCs/>
      </w:rPr>
    </w:tblStylePr>
    <w:tblStylePr w:type="lastCol">
      <w:rPr>
        <w:b/>
        <w:bCs/>
      </w:rPr>
    </w:tblStylePr>
    <w:tblStylePr w:type="band1Vert">
      <w:tblPr/>
      <w:tcPr>
        <w:tcBorders>
          <w:top w:val="single" w:sz="8" w:space="0" w:color="02424C" w:themeColor="accent5"/>
          <w:left w:val="single" w:sz="8" w:space="0" w:color="02424C" w:themeColor="accent5"/>
          <w:bottom w:val="single" w:sz="8" w:space="0" w:color="02424C" w:themeColor="accent5"/>
          <w:right w:val="single" w:sz="8" w:space="0" w:color="02424C" w:themeColor="accent5"/>
        </w:tcBorders>
      </w:tcPr>
    </w:tblStylePr>
    <w:tblStylePr w:type="band1Horz">
      <w:tblPr/>
      <w:tcPr>
        <w:tcBorders>
          <w:top w:val="single" w:sz="8" w:space="0" w:color="02424C" w:themeColor="accent5"/>
          <w:left w:val="single" w:sz="8" w:space="0" w:color="02424C" w:themeColor="accent5"/>
          <w:bottom w:val="single" w:sz="8" w:space="0" w:color="02424C" w:themeColor="accent5"/>
          <w:right w:val="single" w:sz="8" w:space="0" w:color="02424C" w:themeColor="accent5"/>
        </w:tcBorders>
      </w:tcPr>
    </w:tblStylePr>
  </w:style>
  <w:style w:type="table" w:styleId="LightList-Accent4">
    <w:name w:val="Light List Accent 4"/>
    <w:basedOn w:val="TableNormal"/>
    <w:uiPriority w:val="61"/>
    <w:rsid w:val="00FE755D"/>
    <w:pPr>
      <w:spacing w:after="0" w:line="240" w:lineRule="auto"/>
    </w:pPr>
    <w:tblPr>
      <w:tblStyleRowBandSize w:val="1"/>
      <w:tblStyleColBandSize w:val="1"/>
      <w:tblBorders>
        <w:top w:val="single" w:sz="8" w:space="0" w:color="306673" w:themeColor="accent4"/>
        <w:left w:val="single" w:sz="8" w:space="0" w:color="306673" w:themeColor="accent4"/>
        <w:bottom w:val="single" w:sz="8" w:space="0" w:color="306673" w:themeColor="accent4"/>
        <w:right w:val="single" w:sz="8" w:space="0" w:color="306673" w:themeColor="accent4"/>
      </w:tblBorders>
    </w:tblPr>
    <w:tblStylePr w:type="firstRow">
      <w:pPr>
        <w:spacing w:before="0" w:after="0" w:line="240" w:lineRule="auto"/>
      </w:pPr>
      <w:rPr>
        <w:b/>
        <w:bCs/>
        <w:color w:val="FFFFFF" w:themeColor="background1"/>
      </w:rPr>
      <w:tblPr/>
      <w:tcPr>
        <w:shd w:val="clear" w:color="auto" w:fill="306673" w:themeFill="accent4"/>
      </w:tcPr>
    </w:tblStylePr>
    <w:tblStylePr w:type="lastRow">
      <w:pPr>
        <w:spacing w:before="0" w:after="0" w:line="240" w:lineRule="auto"/>
      </w:pPr>
      <w:rPr>
        <w:b/>
        <w:bCs/>
      </w:rPr>
      <w:tblPr/>
      <w:tcPr>
        <w:tcBorders>
          <w:top w:val="double" w:sz="6" w:space="0" w:color="306673" w:themeColor="accent4"/>
          <w:left w:val="single" w:sz="8" w:space="0" w:color="306673" w:themeColor="accent4"/>
          <w:bottom w:val="single" w:sz="8" w:space="0" w:color="306673" w:themeColor="accent4"/>
          <w:right w:val="single" w:sz="8" w:space="0" w:color="306673" w:themeColor="accent4"/>
        </w:tcBorders>
      </w:tcPr>
    </w:tblStylePr>
    <w:tblStylePr w:type="firstCol">
      <w:rPr>
        <w:b/>
        <w:bCs/>
      </w:rPr>
    </w:tblStylePr>
    <w:tblStylePr w:type="lastCol">
      <w:rPr>
        <w:b/>
        <w:bCs/>
      </w:rPr>
    </w:tblStylePr>
    <w:tblStylePr w:type="band1Vert">
      <w:tblPr/>
      <w:tcPr>
        <w:tcBorders>
          <w:top w:val="single" w:sz="8" w:space="0" w:color="306673" w:themeColor="accent4"/>
          <w:left w:val="single" w:sz="8" w:space="0" w:color="306673" w:themeColor="accent4"/>
          <w:bottom w:val="single" w:sz="8" w:space="0" w:color="306673" w:themeColor="accent4"/>
          <w:right w:val="single" w:sz="8" w:space="0" w:color="306673" w:themeColor="accent4"/>
        </w:tcBorders>
      </w:tcPr>
    </w:tblStylePr>
    <w:tblStylePr w:type="band1Horz">
      <w:tblPr/>
      <w:tcPr>
        <w:tcBorders>
          <w:top w:val="single" w:sz="8" w:space="0" w:color="306673" w:themeColor="accent4"/>
          <w:left w:val="single" w:sz="8" w:space="0" w:color="306673" w:themeColor="accent4"/>
          <w:bottom w:val="single" w:sz="8" w:space="0" w:color="306673" w:themeColor="accent4"/>
          <w:right w:val="single" w:sz="8" w:space="0" w:color="306673" w:themeColor="accent4"/>
        </w:tcBorders>
      </w:tcPr>
    </w:tblStylePr>
  </w:style>
  <w:style w:type="paragraph" w:customStyle="1" w:styleId="Default">
    <w:name w:val="Default"/>
    <w:basedOn w:val="Normal"/>
    <w:link w:val="DefaultChar"/>
    <w:rsid w:val="006B6036"/>
    <w:pPr>
      <w:autoSpaceDE w:val="0"/>
      <w:autoSpaceDN w:val="0"/>
      <w:spacing w:line="240" w:lineRule="auto"/>
    </w:pPr>
    <w:rPr>
      <w:rFonts w:ascii="Times New Roman" w:eastAsiaTheme="minorHAnsi" w:hAnsi="Times New Roman" w:cs="Times New Roman"/>
      <w:color w:val="000000"/>
      <w:szCs w:val="24"/>
      <w:lang w:eastAsia="en-US"/>
    </w:rPr>
  </w:style>
  <w:style w:type="character" w:customStyle="1" w:styleId="CaptionChar">
    <w:name w:val="Caption Char"/>
    <w:aliases w:val="Table caption Char,paveikslas Char,Paveikslo pavadinimas Char,TabelOverskrift Char,Char Char Char Char,Caption1 Char Char Char Char Char Char Char Char Char,Caption1 Char Char Char Char Char Char Char Char Tegn Tegn Tegn Tegn Tegn Char"/>
    <w:link w:val="Caption"/>
    <w:rsid w:val="006B6036"/>
    <w:rPr>
      <w:rFonts w:ascii="Cambria" w:hAnsi="Cambria"/>
      <w:b/>
      <w:bCs/>
      <w:szCs w:val="18"/>
    </w:rPr>
  </w:style>
  <w:style w:type="paragraph" w:styleId="NormalWeb">
    <w:name w:val="Normal (Web)"/>
    <w:basedOn w:val="Normal"/>
    <w:uiPriority w:val="99"/>
    <w:semiHidden/>
    <w:unhideWhenUsed/>
    <w:rsid w:val="006B6036"/>
    <w:pPr>
      <w:spacing w:before="100" w:beforeAutospacing="1" w:after="100" w:afterAutospacing="1" w:line="240" w:lineRule="auto"/>
    </w:pPr>
    <w:rPr>
      <w:rFonts w:ascii="Times New Roman" w:hAnsi="Times New Roman" w:cs="Times New Roman"/>
      <w:szCs w:val="24"/>
      <w:lang w:val="en-US" w:eastAsia="en-US"/>
    </w:rPr>
  </w:style>
  <w:style w:type="character" w:customStyle="1" w:styleId="hps">
    <w:name w:val="hps"/>
    <w:rsid w:val="002B0DC2"/>
  </w:style>
  <w:style w:type="character" w:customStyle="1" w:styleId="DefaultChar">
    <w:name w:val="Default Char"/>
    <w:link w:val="Default"/>
    <w:rsid w:val="00DF5A9C"/>
    <w:rPr>
      <w:rFonts w:ascii="Times New Roman" w:eastAsiaTheme="minorHAnsi" w:hAnsi="Times New Roman" w:cs="Times New Roman"/>
      <w:color w:val="000000"/>
      <w:sz w:val="24"/>
      <w:szCs w:val="24"/>
      <w:lang w:eastAsia="en-US"/>
    </w:rPr>
  </w:style>
  <w:style w:type="character" w:customStyle="1" w:styleId="apple-converted-space">
    <w:name w:val="apple-converted-space"/>
    <w:basedOn w:val="DefaultParagraphFont"/>
    <w:rsid w:val="00DF5A9C"/>
  </w:style>
  <w:style w:type="paragraph" w:customStyle="1" w:styleId="Text1">
    <w:name w:val="Text 1"/>
    <w:basedOn w:val="Normal"/>
    <w:link w:val="Text1Char"/>
    <w:rsid w:val="00F130B7"/>
    <w:pPr>
      <w:spacing w:after="240" w:line="240" w:lineRule="auto"/>
      <w:ind w:left="482"/>
      <w:jc w:val="both"/>
    </w:pPr>
    <w:rPr>
      <w:rFonts w:ascii="Times New Roman" w:eastAsia="Times New Roman" w:hAnsi="Times New Roman" w:cs="Times New Roman"/>
      <w:szCs w:val="20"/>
      <w:lang w:val="en-GB" w:eastAsia="en-US"/>
    </w:rPr>
  </w:style>
  <w:style w:type="character" w:customStyle="1" w:styleId="Text1Char">
    <w:name w:val="Text 1 Char"/>
    <w:link w:val="Text1"/>
    <w:locked/>
    <w:rsid w:val="00F130B7"/>
    <w:rPr>
      <w:rFonts w:ascii="Times New Roman" w:eastAsia="Times New Roman" w:hAnsi="Times New Roman" w:cs="Times New Roman"/>
      <w:sz w:val="24"/>
      <w:szCs w:val="20"/>
      <w:lang w:val="en-GB" w:eastAsia="en-US"/>
    </w:rPr>
  </w:style>
  <w:style w:type="character" w:styleId="CommentReference">
    <w:name w:val="annotation reference"/>
    <w:basedOn w:val="DefaultParagraphFont"/>
    <w:uiPriority w:val="99"/>
    <w:semiHidden/>
    <w:unhideWhenUsed/>
    <w:rsid w:val="00495065"/>
    <w:rPr>
      <w:sz w:val="16"/>
      <w:szCs w:val="16"/>
    </w:rPr>
  </w:style>
  <w:style w:type="paragraph" w:styleId="CommentText">
    <w:name w:val="annotation text"/>
    <w:basedOn w:val="Normal"/>
    <w:link w:val="CommentTextChar"/>
    <w:uiPriority w:val="99"/>
    <w:unhideWhenUsed/>
    <w:rsid w:val="00495065"/>
    <w:pPr>
      <w:spacing w:line="240" w:lineRule="auto"/>
    </w:pPr>
    <w:rPr>
      <w:sz w:val="20"/>
      <w:szCs w:val="20"/>
    </w:rPr>
  </w:style>
  <w:style w:type="character" w:customStyle="1" w:styleId="CommentTextChar">
    <w:name w:val="Comment Text Char"/>
    <w:basedOn w:val="DefaultParagraphFont"/>
    <w:link w:val="CommentText"/>
    <w:uiPriority w:val="99"/>
    <w:rsid w:val="00495065"/>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495065"/>
    <w:rPr>
      <w:b/>
      <w:bCs/>
    </w:rPr>
  </w:style>
  <w:style w:type="character" w:customStyle="1" w:styleId="CommentSubjectChar">
    <w:name w:val="Comment Subject Char"/>
    <w:basedOn w:val="CommentTextChar"/>
    <w:link w:val="CommentSubject"/>
    <w:uiPriority w:val="99"/>
    <w:semiHidden/>
    <w:rsid w:val="00495065"/>
    <w:rPr>
      <w:rFonts w:ascii="Cambria" w:hAnsi="Cambria"/>
      <w:b/>
      <w:bCs/>
      <w:sz w:val="20"/>
      <w:szCs w:val="20"/>
    </w:rPr>
  </w:style>
  <w:style w:type="table" w:styleId="ColorfulList-Accent2">
    <w:name w:val="Colorful List Accent 2"/>
    <w:basedOn w:val="TableNormal"/>
    <w:uiPriority w:val="72"/>
    <w:rsid w:val="0059500B"/>
    <w:pPr>
      <w:spacing w:after="0" w:line="240" w:lineRule="auto"/>
    </w:pPr>
    <w:rPr>
      <w:color w:val="000000" w:themeColor="text1"/>
    </w:rPr>
    <w:tblPr>
      <w:tblStyleRowBandSize w:val="1"/>
      <w:tblStyleColBandSize w:val="1"/>
    </w:tblPr>
    <w:tcPr>
      <w:shd w:val="clear" w:color="auto" w:fill="FEF7EA" w:themeFill="accent2" w:themeFillTint="19"/>
    </w:tcPr>
    <w:tblStylePr w:type="firstRow">
      <w:rPr>
        <w:b/>
        <w:bCs/>
        <w:color w:val="FFFFFF" w:themeColor="background1"/>
      </w:rPr>
      <w:tblPr/>
      <w:tcPr>
        <w:tcBorders>
          <w:bottom w:val="single" w:sz="12" w:space="0" w:color="FFFFFF" w:themeColor="background1"/>
        </w:tcBorders>
        <w:shd w:val="clear" w:color="auto" w:fill="E79505" w:themeFill="accent2" w:themeFillShade="CC"/>
      </w:tcPr>
    </w:tblStylePr>
    <w:tblStylePr w:type="lastRow">
      <w:rPr>
        <w:b/>
        <w:bCs/>
        <w:color w:val="E79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BCB" w:themeFill="accent2" w:themeFillTint="3F"/>
      </w:tcPr>
    </w:tblStylePr>
    <w:tblStylePr w:type="band1Horz">
      <w:tblPr/>
      <w:tcPr>
        <w:shd w:val="clear" w:color="auto" w:fill="FEEFD5" w:themeFill="accent2" w:themeFillTint="33"/>
      </w:tcPr>
    </w:tblStylePr>
  </w:style>
  <w:style w:type="paragraph" w:customStyle="1" w:styleId="Sraopastraipa2">
    <w:name w:val="Sąrašo pastraipa2"/>
    <w:basedOn w:val="Normal"/>
    <w:qFormat/>
    <w:rsid w:val="008B5394"/>
    <w:pPr>
      <w:ind w:left="720"/>
      <w:contextualSpacing/>
      <w:jc w:val="both"/>
    </w:pPr>
    <w:rPr>
      <w:rFonts w:ascii="Calibri" w:eastAsia="Calibri" w:hAnsi="Calibri" w:cs="Times New Roman"/>
      <w:sz w:val="22"/>
      <w:lang w:eastAsia="en-US"/>
    </w:rPr>
  </w:style>
  <w:style w:type="table" w:customStyle="1" w:styleId="TableGrid1">
    <w:name w:val="Table Grid1"/>
    <w:basedOn w:val="TableNormal"/>
    <w:next w:val="TableGrid"/>
    <w:uiPriority w:val="59"/>
    <w:rsid w:val="0005317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PVILentele11">
    <w:name w:val="VPVI Lentele 11"/>
    <w:basedOn w:val="TableGrid"/>
    <w:uiPriority w:val="99"/>
    <w:rsid w:val="00053174"/>
    <w:pPr>
      <w:spacing w:line="276" w:lineRule="auto"/>
      <w:contextualSpacing/>
    </w:pPr>
    <w:rPr>
      <w:rFonts w:ascii="Calibri" w:eastAsia="Times New Roman" w:hAnsi="Calibri" w:cs="Times New Roman"/>
      <w:sz w:val="20"/>
      <w:lang w:eastAsia="en-US"/>
    </w:rPr>
    <w:tblPr/>
    <w:tblStylePr w:type="firstRow">
      <w:pPr>
        <w:wordWrap/>
        <w:spacing w:line="276" w:lineRule="auto"/>
        <w:jc w:val="center"/>
      </w:pPr>
      <w:rPr>
        <w:rFonts w:ascii="Calibri" w:hAnsi="Calibri" w:hint="default"/>
        <w:b/>
        <w:sz w:val="22"/>
        <w:szCs w:val="22"/>
      </w:rPr>
      <w:tblPr/>
      <w:tcPr>
        <w:shd w:val="clear" w:color="auto" w:fill="00505E"/>
      </w:tcPr>
    </w:tblStylePr>
    <w:tblStylePr w:type="lastRow">
      <w:pPr>
        <w:wordWrap/>
        <w:spacing w:beforeLines="0" w:beforeAutospacing="1" w:afterLines="0" w:afterAutospacing="1" w:line="276" w:lineRule="auto"/>
        <w:ind w:leftChars="0" w:left="0" w:rightChars="0" w:right="0"/>
        <w:contextualSpacing/>
        <w:jc w:val="left"/>
      </w:pPr>
      <w:rPr>
        <w:rFonts w:ascii="Calibri" w:hAnsi="Calibri" w:hint="default"/>
        <w:sz w:val="18"/>
        <w:szCs w:val="18"/>
      </w:rPr>
      <w:tblPr/>
      <w:tcPr>
        <w:tcBorders>
          <w:top w:val="nil"/>
          <w:left w:val="nil"/>
          <w:bottom w:val="nil"/>
          <w:right w:val="nil"/>
          <w:insideH w:val="nil"/>
          <w:insideV w:val="nil"/>
          <w:tl2br w:val="nil"/>
          <w:tr2bl w:val="nil"/>
        </w:tcBorders>
      </w:tcPr>
    </w:tblStylePr>
    <w:tblStylePr w:type="firstCol">
      <w:pPr>
        <w:wordWrap/>
        <w:spacing w:line="276" w:lineRule="auto"/>
        <w:jc w:val="left"/>
      </w:pPr>
      <w:rPr>
        <w:rFonts w:ascii="Calibri" w:hAnsi="Calibri" w:hint="default"/>
      </w:rPr>
    </w:tblStylePr>
    <w:tblStylePr w:type="lastCol">
      <w:pPr>
        <w:wordWrap/>
        <w:spacing w:line="276" w:lineRule="auto"/>
        <w:jc w:val="left"/>
      </w:pPr>
      <w:rPr>
        <w:rFonts w:ascii="Calibri" w:hAnsi="Calibri" w:hint="default"/>
      </w:rPr>
    </w:tblStylePr>
    <w:tblStylePr w:type="band1Vert">
      <w:pPr>
        <w:jc w:val="left"/>
      </w:pPr>
      <w:rPr>
        <w:rFonts w:ascii="Calibri" w:hAnsi="Calibri" w:hint="default"/>
      </w:rPr>
    </w:tblStylePr>
    <w:tblStylePr w:type="band2Vert">
      <w:pPr>
        <w:jc w:val="left"/>
      </w:pPr>
      <w:rPr>
        <w:rFonts w:ascii="Calibri" w:hAnsi="Calibri" w:hint="default"/>
      </w:rPr>
    </w:tblStylePr>
    <w:tblStylePr w:type="band1Horz">
      <w:pPr>
        <w:wordWrap/>
        <w:spacing w:beforeLines="0" w:beforeAutospacing="1" w:afterLines="0" w:afterAutospacing="1" w:line="276" w:lineRule="auto"/>
        <w:contextualSpacing/>
        <w:jc w:val="left"/>
      </w:pPr>
      <w:rPr>
        <w:rFonts w:ascii="Calibri" w:hAnsi="Calibri" w:hint="default"/>
        <w:b w:val="0"/>
        <w:sz w:val="20"/>
        <w:szCs w:val="20"/>
      </w:rPr>
      <w:tblPr/>
      <w:tcPr>
        <w:shd w:val="clear" w:color="auto" w:fill="F6E2A3"/>
      </w:tcPr>
    </w:tblStylePr>
    <w:tblStylePr w:type="band2Horz">
      <w:pPr>
        <w:wordWrap/>
        <w:spacing w:beforeLines="0" w:beforeAutospacing="1" w:afterLines="0" w:afterAutospacing="1" w:line="276" w:lineRule="auto"/>
        <w:ind w:firstLineChars="0" w:firstLine="0"/>
        <w:contextualSpacing/>
        <w:jc w:val="left"/>
      </w:pPr>
      <w:rPr>
        <w:rFonts w:ascii="Calibri" w:hAnsi="Calibri" w:hint="default"/>
        <w:b w:val="0"/>
        <w:sz w:val="20"/>
        <w:szCs w:val="20"/>
      </w:rPr>
    </w:tblStylePr>
    <w:tblStylePr w:type="neCell">
      <w:pPr>
        <w:wordWrap/>
        <w:spacing w:beforeLines="0" w:beforeAutospacing="1" w:afterLines="0" w:afterAutospacing="1" w:line="276" w:lineRule="auto"/>
        <w:contextualSpacing/>
        <w:jc w:val="center"/>
      </w:pPr>
      <w:rPr>
        <w:rFonts w:ascii="Calibri" w:hAnsi="Calibri" w:hint="default"/>
        <w:sz w:val="22"/>
        <w:szCs w:val="22"/>
      </w:rPr>
    </w:tblStylePr>
    <w:tblStylePr w:type="nwCell">
      <w:pPr>
        <w:jc w:val="left"/>
      </w:pPr>
      <w:rPr>
        <w:rFonts w:ascii="Calibri" w:hAnsi="Calibri" w:hint="default"/>
      </w:rPr>
    </w:tblStylePr>
    <w:tblStylePr w:type="seCell">
      <w:pPr>
        <w:jc w:val="left"/>
      </w:pPr>
      <w:rPr>
        <w:rFonts w:ascii="Calibri" w:hAnsi="Calibri" w:hint="default"/>
        <w:sz w:val="18"/>
        <w:szCs w:val="18"/>
      </w:rPr>
    </w:tblStylePr>
    <w:tblStylePr w:type="swCell">
      <w:pPr>
        <w:jc w:val="left"/>
      </w:pPr>
      <w:rPr>
        <w:rFonts w:ascii="Calibri" w:hAnsi="Calibri" w:hint="default"/>
        <w:sz w:val="18"/>
        <w:szCs w:val="18"/>
      </w:rPr>
    </w:tblStylePr>
  </w:style>
  <w:style w:type="table" w:customStyle="1" w:styleId="TableGrid2">
    <w:name w:val="Table Grid2"/>
    <w:basedOn w:val="TableNormal"/>
    <w:next w:val="TableGrid"/>
    <w:uiPriority w:val="59"/>
    <w:rsid w:val="0005317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Normal"/>
    <w:rsid w:val="00D813C8"/>
    <w:pPr>
      <w:spacing w:before="100" w:beforeAutospacing="1" w:after="100" w:afterAutospacing="1" w:line="240" w:lineRule="auto"/>
    </w:pPr>
    <w:rPr>
      <w:rFonts w:ascii="Times New Roman" w:eastAsia="Times New Roman" w:hAnsi="Times New Roman" w:cs="Times New Roman"/>
      <w:szCs w:val="24"/>
    </w:rPr>
  </w:style>
  <w:style w:type="character" w:styleId="PageNumber">
    <w:name w:val="page number"/>
    <w:basedOn w:val="DefaultParagraphFont"/>
    <w:uiPriority w:val="99"/>
    <w:semiHidden/>
    <w:unhideWhenUsed/>
    <w:rsid w:val="00B6422A"/>
  </w:style>
  <w:style w:type="character" w:styleId="FollowedHyperlink">
    <w:name w:val="FollowedHyperlink"/>
    <w:basedOn w:val="DefaultParagraphFont"/>
    <w:uiPriority w:val="99"/>
    <w:semiHidden/>
    <w:unhideWhenUsed/>
    <w:rsid w:val="00406D19"/>
    <w:rPr>
      <w:color w:val="800080" w:themeColor="followedHyperlink"/>
      <w:u w:val="single"/>
    </w:rPr>
  </w:style>
  <w:style w:type="paragraph" w:customStyle="1" w:styleId="Point0number">
    <w:name w:val="Point 0 (number)"/>
    <w:basedOn w:val="Normal"/>
    <w:rsid w:val="007702D5"/>
    <w:pPr>
      <w:numPr>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1number">
    <w:name w:val="Point 1 (number)"/>
    <w:basedOn w:val="Normal"/>
    <w:rsid w:val="007702D5"/>
    <w:pPr>
      <w:numPr>
        <w:ilvl w:val="2"/>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2number">
    <w:name w:val="Point 2 (number)"/>
    <w:basedOn w:val="Normal"/>
    <w:rsid w:val="007702D5"/>
    <w:pPr>
      <w:numPr>
        <w:ilvl w:val="4"/>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3number">
    <w:name w:val="Point 3 (number)"/>
    <w:basedOn w:val="Normal"/>
    <w:rsid w:val="007702D5"/>
    <w:pPr>
      <w:numPr>
        <w:ilvl w:val="6"/>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0letter">
    <w:name w:val="Point 0 (letter)"/>
    <w:basedOn w:val="Normal"/>
    <w:rsid w:val="007702D5"/>
    <w:pPr>
      <w:numPr>
        <w:ilvl w:val="1"/>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1letter">
    <w:name w:val="Point 1 (letter)"/>
    <w:basedOn w:val="Normal"/>
    <w:rsid w:val="007702D5"/>
    <w:pPr>
      <w:numPr>
        <w:ilvl w:val="3"/>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2letter">
    <w:name w:val="Point 2 (letter)"/>
    <w:basedOn w:val="Normal"/>
    <w:rsid w:val="007702D5"/>
    <w:pPr>
      <w:numPr>
        <w:ilvl w:val="5"/>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3letter">
    <w:name w:val="Point 3 (letter)"/>
    <w:basedOn w:val="Normal"/>
    <w:rsid w:val="007702D5"/>
    <w:pPr>
      <w:numPr>
        <w:ilvl w:val="7"/>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4letter">
    <w:name w:val="Point 4 (letter)"/>
    <w:basedOn w:val="Normal"/>
    <w:rsid w:val="007702D5"/>
    <w:pPr>
      <w:numPr>
        <w:ilvl w:val="8"/>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2">
    <w:name w:val="Point 2"/>
    <w:basedOn w:val="Normal"/>
    <w:rsid w:val="007702D5"/>
    <w:pPr>
      <w:spacing w:before="120" w:after="120" w:line="240" w:lineRule="auto"/>
      <w:ind w:left="1984" w:hanging="567"/>
      <w:jc w:val="both"/>
    </w:pPr>
    <w:rPr>
      <w:rFonts w:ascii="Times New Roman" w:eastAsia="Times New Roman" w:hAnsi="Times New Roman" w:cs="Times New Roman"/>
      <w:szCs w:val="24"/>
      <w:lang w:val="en-GB" w:eastAsia="en-US"/>
    </w:rPr>
  </w:style>
  <w:style w:type="paragraph" w:customStyle="1" w:styleId="CM1">
    <w:name w:val="CM1"/>
    <w:basedOn w:val="Default"/>
    <w:next w:val="Default"/>
    <w:uiPriority w:val="99"/>
    <w:rsid w:val="0046624C"/>
    <w:pPr>
      <w:adjustRightInd w:val="0"/>
    </w:pPr>
    <w:rPr>
      <w:rFonts w:ascii="EUAlbertina" w:eastAsiaTheme="minorEastAsia" w:hAnsi="EUAlbertina" w:cstheme="minorBidi"/>
      <w:color w:val="auto"/>
      <w:lang w:eastAsia="lt-LT"/>
    </w:rPr>
  </w:style>
  <w:style w:type="paragraph" w:customStyle="1" w:styleId="CM3">
    <w:name w:val="CM3"/>
    <w:basedOn w:val="Default"/>
    <w:next w:val="Default"/>
    <w:uiPriority w:val="99"/>
    <w:rsid w:val="0046624C"/>
    <w:pPr>
      <w:adjustRightInd w:val="0"/>
    </w:pPr>
    <w:rPr>
      <w:rFonts w:ascii="EUAlbertina" w:eastAsiaTheme="minorEastAsia" w:hAnsi="EUAlbertina" w:cstheme="minorBidi"/>
      <w:color w:val="auto"/>
      <w:lang w:eastAsia="lt-LT"/>
    </w:rPr>
  </w:style>
  <w:style w:type="character" w:customStyle="1" w:styleId="st">
    <w:name w:val="st"/>
    <w:basedOn w:val="DefaultParagraphFont"/>
    <w:rsid w:val="0074365F"/>
  </w:style>
  <w:style w:type="table" w:customStyle="1" w:styleId="LightShading-Accent12">
    <w:name w:val="Light Shading - Accent 12"/>
    <w:basedOn w:val="TableNormal"/>
    <w:uiPriority w:val="60"/>
    <w:rsid w:val="0070609E"/>
    <w:pPr>
      <w:spacing w:after="0" w:line="240" w:lineRule="auto"/>
    </w:pPr>
    <w:rPr>
      <w:color w:val="FBA925" w:themeColor="accent1" w:themeShade="BF"/>
    </w:rPr>
    <w:tblPr>
      <w:tblStyleRowBandSize w:val="1"/>
      <w:tblStyleColBandSize w:val="1"/>
      <w:tblBorders>
        <w:top w:val="single" w:sz="8" w:space="0" w:color="FDCF85" w:themeColor="accent1"/>
        <w:bottom w:val="single" w:sz="8" w:space="0" w:color="FDCF85" w:themeColor="accent1"/>
      </w:tblBorders>
    </w:tblPr>
    <w:tblStylePr w:type="firstRow">
      <w:pPr>
        <w:spacing w:before="0" w:after="0" w:line="240" w:lineRule="auto"/>
      </w:pPr>
      <w:rPr>
        <w:b/>
        <w:bCs/>
      </w:rPr>
      <w:tblPr/>
      <w:tcPr>
        <w:tcBorders>
          <w:top w:val="single" w:sz="8" w:space="0" w:color="FDCF85" w:themeColor="accent1"/>
          <w:left w:val="nil"/>
          <w:bottom w:val="single" w:sz="8" w:space="0" w:color="FDCF85" w:themeColor="accent1"/>
          <w:right w:val="nil"/>
          <w:insideH w:val="nil"/>
          <w:insideV w:val="nil"/>
        </w:tcBorders>
      </w:tcPr>
    </w:tblStylePr>
    <w:tblStylePr w:type="lastRow">
      <w:pPr>
        <w:spacing w:before="0" w:after="0" w:line="240" w:lineRule="auto"/>
      </w:pPr>
      <w:rPr>
        <w:b/>
        <w:bCs/>
      </w:rPr>
      <w:tblPr/>
      <w:tcPr>
        <w:tcBorders>
          <w:top w:val="single" w:sz="8" w:space="0" w:color="FDCF85" w:themeColor="accent1"/>
          <w:left w:val="nil"/>
          <w:bottom w:val="single" w:sz="8" w:space="0" w:color="FDCF8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3E0" w:themeFill="accent1" w:themeFillTint="3F"/>
      </w:tcPr>
    </w:tblStylePr>
    <w:tblStylePr w:type="band1Horz">
      <w:tblPr/>
      <w:tcPr>
        <w:tcBorders>
          <w:left w:val="nil"/>
          <w:right w:val="nil"/>
          <w:insideH w:val="nil"/>
          <w:insideV w:val="nil"/>
        </w:tcBorders>
        <w:shd w:val="clear" w:color="auto" w:fill="FEF3E0" w:themeFill="accent1" w:themeFillTint="3F"/>
      </w:tcPr>
    </w:tblStylePr>
  </w:style>
  <w:style w:type="table" w:styleId="MediumGrid1-Accent6">
    <w:name w:val="Medium Grid 1 Accent 6"/>
    <w:basedOn w:val="TableNormal"/>
    <w:uiPriority w:val="67"/>
    <w:rsid w:val="0070609E"/>
    <w:pPr>
      <w:spacing w:after="0" w:line="240" w:lineRule="auto"/>
    </w:pPr>
    <w:tblPr>
      <w:tblStyleRowBandSize w:val="1"/>
      <w:tblStyleColBandSize w:val="1"/>
      <w:tblBorders>
        <w:top w:val="single" w:sz="8" w:space="0" w:color="FEE9CB" w:themeColor="accent6" w:themeTint="BF"/>
        <w:left w:val="single" w:sz="8" w:space="0" w:color="FEE9CB" w:themeColor="accent6" w:themeTint="BF"/>
        <w:bottom w:val="single" w:sz="8" w:space="0" w:color="FEE9CB" w:themeColor="accent6" w:themeTint="BF"/>
        <w:right w:val="single" w:sz="8" w:space="0" w:color="FEE9CB" w:themeColor="accent6" w:themeTint="BF"/>
        <w:insideH w:val="single" w:sz="8" w:space="0" w:color="FEE9CB" w:themeColor="accent6" w:themeTint="BF"/>
        <w:insideV w:val="single" w:sz="8" w:space="0" w:color="FEE9CB" w:themeColor="accent6" w:themeTint="BF"/>
      </w:tblBorders>
    </w:tblPr>
    <w:tcPr>
      <w:shd w:val="clear" w:color="auto" w:fill="FEF7ED" w:themeFill="accent6" w:themeFillTint="3F"/>
    </w:tcPr>
    <w:tblStylePr w:type="firstRow">
      <w:rPr>
        <w:b/>
        <w:bCs/>
      </w:rPr>
    </w:tblStylePr>
    <w:tblStylePr w:type="lastRow">
      <w:rPr>
        <w:b/>
        <w:bCs/>
      </w:rPr>
      <w:tblPr/>
      <w:tcPr>
        <w:tcBorders>
          <w:top w:val="single" w:sz="18" w:space="0" w:color="FEE9CB" w:themeColor="accent6" w:themeTint="BF"/>
        </w:tcBorders>
      </w:tcPr>
    </w:tblStylePr>
    <w:tblStylePr w:type="firstCol">
      <w:rPr>
        <w:b/>
        <w:bCs/>
      </w:rPr>
    </w:tblStylePr>
    <w:tblStylePr w:type="lastCol">
      <w:rPr>
        <w:b/>
        <w:bCs/>
      </w:rPr>
    </w:tblStylePr>
    <w:tblStylePr w:type="band1Vert">
      <w:tblPr/>
      <w:tcPr>
        <w:shd w:val="clear" w:color="auto" w:fill="FEF0DC" w:themeFill="accent6" w:themeFillTint="7F"/>
      </w:tcPr>
    </w:tblStylePr>
    <w:tblStylePr w:type="band1Horz">
      <w:tblPr/>
      <w:tcPr>
        <w:shd w:val="clear" w:color="auto" w:fill="FEF0DC" w:themeFill="accent6" w:themeFillTint="7F"/>
      </w:tcPr>
    </w:tblStylePr>
  </w:style>
  <w:style w:type="table" w:styleId="MediumGrid3-Accent6">
    <w:name w:val="Medium Grid 3 Accent 6"/>
    <w:basedOn w:val="TableNormal"/>
    <w:uiPriority w:val="69"/>
    <w:rsid w:val="007060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7E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E3B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E3B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E3B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E3B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F0D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F0DC" w:themeFill="accent6" w:themeFillTint="7F"/>
      </w:tcPr>
    </w:tblStylePr>
  </w:style>
  <w:style w:type="character" w:customStyle="1" w:styleId="Hyperlink1">
    <w:name w:val="Hyperlink1"/>
    <w:basedOn w:val="DefaultParagraphFont"/>
    <w:uiPriority w:val="99"/>
    <w:unhideWhenUsed/>
    <w:rsid w:val="00387B11"/>
    <w:rPr>
      <w:color w:val="0000FF"/>
      <w:u w:val="single"/>
    </w:rPr>
  </w:style>
  <w:style w:type="table" w:styleId="ColorfulList-Accent6">
    <w:name w:val="Colorful List Accent 6"/>
    <w:basedOn w:val="TableNormal"/>
    <w:uiPriority w:val="72"/>
    <w:rsid w:val="006C7E10"/>
    <w:pPr>
      <w:spacing w:after="0" w:line="240" w:lineRule="auto"/>
    </w:pPr>
    <w:rPr>
      <w:rFonts w:eastAsiaTheme="minorHAnsi"/>
      <w:color w:val="000000" w:themeColor="text1"/>
      <w:lang w:eastAsia="en-US"/>
    </w:rPr>
    <w:tblPr>
      <w:tblStyleRowBandSize w:val="1"/>
      <w:tblStyleColBandSize w:val="1"/>
    </w:tblPr>
    <w:tcPr>
      <w:shd w:val="clear" w:color="auto" w:fill="FFFCF8" w:themeFill="accent6" w:themeFillTint="19"/>
    </w:tcPr>
    <w:tblStylePr w:type="firstRow">
      <w:rPr>
        <w:b/>
        <w:bCs/>
        <w:color w:val="FFFFFF" w:themeColor="background1"/>
      </w:rPr>
      <w:tblPr/>
      <w:tcPr>
        <w:tcBorders>
          <w:bottom w:val="single" w:sz="12" w:space="0" w:color="FFFFFF" w:themeColor="background1"/>
        </w:tcBorders>
        <w:shd w:val="clear" w:color="auto" w:fill="01343C" w:themeFill="accent5" w:themeFillShade="CC"/>
      </w:tcPr>
    </w:tblStylePr>
    <w:tblStylePr w:type="lastRow">
      <w:rPr>
        <w:b/>
        <w:bCs/>
        <w:color w:val="0134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7ED" w:themeFill="accent6" w:themeFillTint="3F"/>
      </w:tcPr>
    </w:tblStylePr>
    <w:tblStylePr w:type="band1Horz">
      <w:tblPr/>
      <w:tcPr>
        <w:shd w:val="clear" w:color="auto" w:fill="FEF9F1" w:themeFill="accent6" w:themeFillTint="33"/>
      </w:tcPr>
    </w:tblStylePr>
  </w:style>
  <w:style w:type="paragraph" w:styleId="PlainText">
    <w:name w:val="Plain Text"/>
    <w:basedOn w:val="Normal"/>
    <w:link w:val="PlainTextChar"/>
    <w:uiPriority w:val="99"/>
    <w:unhideWhenUsed/>
    <w:rsid w:val="00E17C08"/>
    <w:pPr>
      <w:spacing w:line="240" w:lineRule="auto"/>
    </w:pPr>
    <w:rPr>
      <w:rFonts w:ascii="Calibri" w:eastAsiaTheme="minorHAnsi" w:hAnsi="Calibri"/>
      <w:sz w:val="22"/>
      <w:szCs w:val="21"/>
      <w:lang w:eastAsia="en-US"/>
    </w:rPr>
  </w:style>
  <w:style w:type="character" w:customStyle="1" w:styleId="PlainTextChar">
    <w:name w:val="Plain Text Char"/>
    <w:basedOn w:val="DefaultParagraphFont"/>
    <w:link w:val="PlainText"/>
    <w:uiPriority w:val="99"/>
    <w:rsid w:val="00E17C08"/>
    <w:rPr>
      <w:rFonts w:ascii="Calibri" w:eastAsiaTheme="minorHAnsi" w:hAnsi="Calibri"/>
      <w:szCs w:val="21"/>
      <w:lang w:eastAsia="en-US"/>
    </w:rPr>
  </w:style>
  <w:style w:type="numbering" w:customStyle="1" w:styleId="StyleBulleted2">
    <w:name w:val="Style Bulleted2"/>
    <w:basedOn w:val="NoList"/>
    <w:rsid w:val="003A3F40"/>
    <w:pPr>
      <w:numPr>
        <w:numId w:val="3"/>
      </w:numPr>
    </w:pPr>
  </w:style>
  <w:style w:type="paragraph" w:styleId="Revision">
    <w:name w:val="Revision"/>
    <w:hidden/>
    <w:uiPriority w:val="99"/>
    <w:semiHidden/>
    <w:rsid w:val="004011AF"/>
    <w:pPr>
      <w:spacing w:after="0" w:line="240" w:lineRule="auto"/>
    </w:pPr>
    <w:rPr>
      <w:rFonts w:ascii="Cambria" w:hAnsi="Cambria"/>
      <w:sz w:val="24"/>
    </w:rPr>
  </w:style>
  <w:style w:type="character" w:customStyle="1" w:styleId="st1">
    <w:name w:val="st1"/>
    <w:basedOn w:val="DefaultParagraphFont"/>
    <w:rsid w:val="00036634"/>
  </w:style>
  <w:style w:type="paragraph" w:styleId="TOC6">
    <w:name w:val="toc 6"/>
    <w:basedOn w:val="Normal"/>
    <w:next w:val="Normal"/>
    <w:autoRedefine/>
    <w:uiPriority w:val="39"/>
    <w:unhideWhenUsed/>
    <w:rsid w:val="002205F1"/>
    <w:pPr>
      <w:spacing w:after="100"/>
      <w:ind w:left="1100"/>
    </w:pPr>
    <w:rPr>
      <w:rFonts w:asciiTheme="minorHAnsi" w:hAnsiTheme="minorHAnsi"/>
      <w:sz w:val="22"/>
    </w:rPr>
  </w:style>
  <w:style w:type="paragraph" w:styleId="TOC7">
    <w:name w:val="toc 7"/>
    <w:basedOn w:val="Normal"/>
    <w:next w:val="Normal"/>
    <w:autoRedefine/>
    <w:uiPriority w:val="39"/>
    <w:unhideWhenUsed/>
    <w:rsid w:val="002205F1"/>
    <w:pPr>
      <w:spacing w:after="100"/>
      <w:ind w:left="1320"/>
    </w:pPr>
    <w:rPr>
      <w:rFonts w:asciiTheme="minorHAnsi" w:hAnsiTheme="minorHAnsi"/>
      <w:sz w:val="22"/>
    </w:rPr>
  </w:style>
  <w:style w:type="paragraph" w:styleId="TOC8">
    <w:name w:val="toc 8"/>
    <w:basedOn w:val="Normal"/>
    <w:next w:val="Normal"/>
    <w:autoRedefine/>
    <w:uiPriority w:val="39"/>
    <w:unhideWhenUsed/>
    <w:rsid w:val="002205F1"/>
    <w:pPr>
      <w:spacing w:after="100"/>
      <w:ind w:left="1540"/>
    </w:pPr>
    <w:rPr>
      <w:rFonts w:asciiTheme="minorHAnsi" w:hAnsiTheme="minorHAnsi"/>
      <w:sz w:val="22"/>
    </w:rPr>
  </w:style>
  <w:style w:type="paragraph" w:styleId="TOC9">
    <w:name w:val="toc 9"/>
    <w:basedOn w:val="Normal"/>
    <w:next w:val="Normal"/>
    <w:autoRedefine/>
    <w:uiPriority w:val="39"/>
    <w:unhideWhenUsed/>
    <w:rsid w:val="002205F1"/>
    <w:pPr>
      <w:spacing w:after="100"/>
      <w:ind w:left="1760"/>
    </w:pPr>
    <w:rPr>
      <w:rFonts w:asciiTheme="minorHAnsi" w:hAnsiTheme="minorHAnsi"/>
      <w:sz w:val="22"/>
    </w:rPr>
  </w:style>
  <w:style w:type="paragraph" w:customStyle="1" w:styleId="CM4">
    <w:name w:val="CM4"/>
    <w:basedOn w:val="Default"/>
    <w:next w:val="Default"/>
    <w:uiPriority w:val="99"/>
    <w:rsid w:val="00596FDB"/>
    <w:pPr>
      <w:adjustRightInd w:val="0"/>
    </w:pPr>
    <w:rPr>
      <w:rFonts w:ascii="EUAlbertina" w:eastAsia="Times New Roman" w:hAnsi="EUAlbertina"/>
      <w:color w:val="auto"/>
      <w:lang w:val="en-US" w:eastAsia="lt-LT"/>
    </w:rPr>
  </w:style>
  <w:style w:type="character" w:customStyle="1" w:styleId="ListParagraphChar">
    <w:name w:val="List Paragraph Char"/>
    <w:link w:val="ListParagraph"/>
    <w:uiPriority w:val="34"/>
    <w:locked/>
    <w:rsid w:val="00596FDB"/>
    <w:rPr>
      <w:rFonts w:ascii="Cambria" w:hAnsi="Cambr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8D1"/>
    <w:pPr>
      <w:spacing w:after="0"/>
    </w:pPr>
    <w:rPr>
      <w:rFonts w:ascii="Cambria" w:hAnsi="Cambria"/>
      <w:sz w:val="24"/>
    </w:rPr>
  </w:style>
  <w:style w:type="paragraph" w:styleId="Heading1">
    <w:name w:val="heading 1"/>
    <w:basedOn w:val="Normal"/>
    <w:next w:val="Text"/>
    <w:link w:val="Heading1Char"/>
    <w:uiPriority w:val="9"/>
    <w:qFormat/>
    <w:rsid w:val="00F20D53"/>
    <w:pPr>
      <w:keepNext/>
      <w:keepLines/>
      <w:spacing w:before="240" w:after="480"/>
      <w:outlineLvl w:val="0"/>
    </w:pPr>
    <w:rPr>
      <w:rFonts w:eastAsiaTheme="majorEastAsia" w:cstheme="majorBidi"/>
      <w:bCs/>
      <w:caps/>
      <w:color w:val="175F6E"/>
      <w:sz w:val="45"/>
      <w:szCs w:val="28"/>
    </w:rPr>
  </w:style>
  <w:style w:type="paragraph" w:styleId="Heading2">
    <w:name w:val="heading 2"/>
    <w:basedOn w:val="Heading1"/>
    <w:next w:val="Text"/>
    <w:link w:val="Heading2Char"/>
    <w:uiPriority w:val="9"/>
    <w:unhideWhenUsed/>
    <w:qFormat/>
    <w:rsid w:val="00664CE5"/>
    <w:pPr>
      <w:numPr>
        <w:numId w:val="1"/>
      </w:numPr>
      <w:spacing w:before="200" w:after="360"/>
      <w:outlineLvl w:val="1"/>
    </w:pPr>
    <w:rPr>
      <w:rFonts w:eastAsia="Lucida Sans Unicode"/>
      <w:bCs w:val="0"/>
      <w:color w:val="00505E"/>
      <w:szCs w:val="45"/>
    </w:rPr>
  </w:style>
  <w:style w:type="paragraph" w:styleId="Heading3">
    <w:name w:val="heading 3"/>
    <w:basedOn w:val="Heading2"/>
    <w:next w:val="Text"/>
    <w:link w:val="Heading3Char"/>
    <w:uiPriority w:val="9"/>
    <w:unhideWhenUsed/>
    <w:qFormat/>
    <w:rsid w:val="005058B5"/>
    <w:pPr>
      <w:numPr>
        <w:ilvl w:val="1"/>
      </w:numPr>
      <w:tabs>
        <w:tab w:val="left" w:pos="907"/>
        <w:tab w:val="left" w:pos="1134"/>
        <w:tab w:val="left" w:pos="1361"/>
      </w:tabs>
      <w:spacing w:after="240"/>
      <w:outlineLvl w:val="2"/>
    </w:pPr>
    <w:rPr>
      <w:bCs/>
      <w:caps w:val="0"/>
      <w:sz w:val="26"/>
      <w:szCs w:val="26"/>
    </w:rPr>
  </w:style>
  <w:style w:type="paragraph" w:styleId="Heading4">
    <w:name w:val="heading 4"/>
    <w:basedOn w:val="Heading3"/>
    <w:next w:val="Text"/>
    <w:link w:val="Heading4Char"/>
    <w:uiPriority w:val="9"/>
    <w:unhideWhenUsed/>
    <w:qFormat/>
    <w:rsid w:val="005058B5"/>
    <w:pPr>
      <w:numPr>
        <w:ilvl w:val="2"/>
      </w:numPr>
      <w:outlineLvl w:val="3"/>
    </w:pPr>
  </w:style>
  <w:style w:type="paragraph" w:styleId="Heading5">
    <w:name w:val="heading 5"/>
    <w:basedOn w:val="Heading4"/>
    <w:next w:val="Text"/>
    <w:link w:val="Heading5Char"/>
    <w:uiPriority w:val="9"/>
    <w:unhideWhenUsed/>
    <w:qFormat/>
    <w:rsid w:val="008F5D04"/>
    <w:pPr>
      <w:numPr>
        <w:ilvl w:val="3"/>
      </w:numPr>
      <w:spacing w:after="120"/>
      <w:outlineLvl w:val="4"/>
    </w:pPr>
    <w:rPr>
      <w:rFonts w:eastAsiaTheme="majorEastAsia"/>
      <w:sz w:val="24"/>
    </w:rPr>
  </w:style>
  <w:style w:type="paragraph" w:styleId="Heading6">
    <w:name w:val="heading 6"/>
    <w:basedOn w:val="Normal"/>
    <w:next w:val="Text"/>
    <w:link w:val="Heading6Char"/>
    <w:uiPriority w:val="9"/>
    <w:unhideWhenUsed/>
    <w:qFormat/>
    <w:rsid w:val="00F20D53"/>
    <w:pPr>
      <w:outlineLvl w:val="5"/>
    </w:pPr>
    <w:rPr>
      <w:rFonts w:eastAsiaTheme="majorEastAsia" w:cstheme="majorBidi"/>
      <w:bCs/>
      <w:color w:val="00505E"/>
      <w:szCs w:val="26"/>
    </w:rPr>
  </w:style>
  <w:style w:type="paragraph" w:styleId="Heading7">
    <w:name w:val="heading 7"/>
    <w:basedOn w:val="Text"/>
    <w:next w:val="Text"/>
    <w:link w:val="Heading7Char"/>
    <w:uiPriority w:val="9"/>
    <w:unhideWhenUsed/>
    <w:qFormat/>
    <w:rsid w:val="00F20D53"/>
    <w:pPr>
      <w:spacing w:before="120" w:after="120"/>
      <w:outlineLvl w:val="6"/>
    </w:pPr>
    <w:rPr>
      <w:rFonts w:eastAsiaTheme="majorEastAsia" w:cstheme="majorBidi"/>
      <w:b/>
      <w:iCs/>
      <w:sz w:val="20"/>
    </w:rPr>
  </w:style>
  <w:style w:type="paragraph" w:styleId="Heading8">
    <w:name w:val="heading 8"/>
    <w:basedOn w:val="Normal"/>
    <w:next w:val="Normal"/>
    <w:link w:val="Heading8Char"/>
    <w:uiPriority w:val="9"/>
    <w:unhideWhenUsed/>
    <w:qFormat/>
    <w:rsid w:val="00F20D53"/>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20D53"/>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20D53"/>
    <w:pPr>
      <w:spacing w:after="0"/>
    </w:pPr>
    <w:rPr>
      <w:rFonts w:ascii="Cambria" w:hAnsi="Cambria"/>
      <w:lang w:val="en-US" w:eastAsia="ja-JP"/>
    </w:rPr>
  </w:style>
  <w:style w:type="character" w:customStyle="1" w:styleId="NoSpacingChar">
    <w:name w:val="No Spacing Char"/>
    <w:basedOn w:val="DefaultParagraphFont"/>
    <w:link w:val="NoSpacing"/>
    <w:uiPriority w:val="1"/>
    <w:rsid w:val="00F20D53"/>
    <w:rPr>
      <w:rFonts w:ascii="Cambria" w:hAnsi="Cambria"/>
      <w:lang w:val="en-US" w:eastAsia="ja-JP"/>
    </w:rPr>
  </w:style>
  <w:style w:type="paragraph" w:styleId="BalloonText">
    <w:name w:val="Balloon Text"/>
    <w:basedOn w:val="Normal"/>
    <w:link w:val="BalloonTextChar"/>
    <w:uiPriority w:val="99"/>
    <w:semiHidden/>
    <w:unhideWhenUsed/>
    <w:rsid w:val="00CC0457"/>
    <w:rPr>
      <w:rFonts w:ascii="Tahoma" w:hAnsi="Tahoma" w:cs="Tahoma"/>
      <w:sz w:val="16"/>
      <w:szCs w:val="16"/>
    </w:rPr>
  </w:style>
  <w:style w:type="character" w:customStyle="1" w:styleId="BalloonTextChar">
    <w:name w:val="Balloon Text Char"/>
    <w:basedOn w:val="DefaultParagraphFont"/>
    <w:link w:val="BalloonText"/>
    <w:uiPriority w:val="99"/>
    <w:semiHidden/>
    <w:rsid w:val="00CC0457"/>
    <w:rPr>
      <w:rFonts w:ascii="Tahoma" w:hAnsi="Tahoma" w:cs="Tahoma"/>
      <w:sz w:val="16"/>
      <w:szCs w:val="16"/>
    </w:rPr>
  </w:style>
  <w:style w:type="paragraph" w:styleId="Header">
    <w:name w:val="header"/>
    <w:basedOn w:val="Normal"/>
    <w:link w:val="HeaderChar"/>
    <w:uiPriority w:val="99"/>
    <w:unhideWhenUsed/>
    <w:rsid w:val="00CC0457"/>
    <w:pPr>
      <w:tabs>
        <w:tab w:val="center" w:pos="4819"/>
        <w:tab w:val="right" w:pos="9638"/>
      </w:tabs>
    </w:pPr>
  </w:style>
  <w:style w:type="character" w:customStyle="1" w:styleId="HeaderChar">
    <w:name w:val="Header Char"/>
    <w:basedOn w:val="DefaultParagraphFont"/>
    <w:link w:val="Header"/>
    <w:uiPriority w:val="99"/>
    <w:rsid w:val="00CC0457"/>
  </w:style>
  <w:style w:type="paragraph" w:styleId="Footer">
    <w:name w:val="footer"/>
    <w:basedOn w:val="Normal"/>
    <w:link w:val="FooterChar"/>
    <w:uiPriority w:val="99"/>
    <w:unhideWhenUsed/>
    <w:rsid w:val="00CC0457"/>
    <w:pPr>
      <w:tabs>
        <w:tab w:val="center" w:pos="4819"/>
        <w:tab w:val="right" w:pos="9638"/>
      </w:tabs>
    </w:pPr>
  </w:style>
  <w:style w:type="character" w:customStyle="1" w:styleId="FooterChar">
    <w:name w:val="Footer Char"/>
    <w:basedOn w:val="DefaultParagraphFont"/>
    <w:link w:val="Footer"/>
    <w:uiPriority w:val="99"/>
    <w:rsid w:val="00CC0457"/>
  </w:style>
  <w:style w:type="character" w:styleId="PlaceholderText">
    <w:name w:val="Placeholder Text"/>
    <w:basedOn w:val="DefaultParagraphFont"/>
    <w:uiPriority w:val="99"/>
    <w:semiHidden/>
    <w:rsid w:val="00D47310"/>
    <w:rPr>
      <w:color w:val="808080"/>
    </w:rPr>
  </w:style>
  <w:style w:type="character" w:customStyle="1" w:styleId="Heading1Char">
    <w:name w:val="Heading 1 Char"/>
    <w:basedOn w:val="DefaultParagraphFont"/>
    <w:link w:val="Heading1"/>
    <w:uiPriority w:val="9"/>
    <w:rsid w:val="00F20D53"/>
    <w:rPr>
      <w:rFonts w:ascii="Cambria" w:eastAsiaTheme="majorEastAsia" w:hAnsi="Cambria" w:cstheme="majorBidi"/>
      <w:bCs/>
      <w:caps/>
      <w:color w:val="175F6E"/>
      <w:sz w:val="45"/>
      <w:szCs w:val="28"/>
    </w:rPr>
  </w:style>
  <w:style w:type="character" w:customStyle="1" w:styleId="Heading2Char">
    <w:name w:val="Heading 2 Char"/>
    <w:basedOn w:val="DefaultParagraphFont"/>
    <w:link w:val="Heading2"/>
    <w:uiPriority w:val="9"/>
    <w:rsid w:val="00664CE5"/>
    <w:rPr>
      <w:rFonts w:ascii="Cambria" w:eastAsia="Lucida Sans Unicode" w:hAnsi="Cambria" w:cstheme="majorBidi"/>
      <w:caps/>
      <w:color w:val="00505E"/>
      <w:sz w:val="45"/>
      <w:szCs w:val="45"/>
    </w:rPr>
  </w:style>
  <w:style w:type="character" w:customStyle="1" w:styleId="Heading3Char">
    <w:name w:val="Heading 3 Char"/>
    <w:basedOn w:val="DefaultParagraphFont"/>
    <w:link w:val="Heading3"/>
    <w:uiPriority w:val="9"/>
    <w:rsid w:val="005058B5"/>
    <w:rPr>
      <w:rFonts w:ascii="Cambria" w:eastAsia="Lucida Sans Unicode" w:hAnsi="Cambria" w:cstheme="majorBidi"/>
      <w:bCs/>
      <w:color w:val="00505E"/>
      <w:sz w:val="26"/>
      <w:szCs w:val="26"/>
    </w:rPr>
  </w:style>
  <w:style w:type="paragraph" w:styleId="Subtitle">
    <w:name w:val="Subtitle"/>
    <w:basedOn w:val="Normal"/>
    <w:next w:val="Normal"/>
    <w:link w:val="SubtitleChar"/>
    <w:uiPriority w:val="11"/>
    <w:qFormat/>
    <w:rsid w:val="00F20D53"/>
    <w:pPr>
      <w:numPr>
        <w:ilvl w:val="1"/>
      </w:numPr>
    </w:pPr>
    <w:rPr>
      <w:rFonts w:eastAsiaTheme="majorEastAsia" w:cstheme="majorBidi"/>
      <w:iCs/>
      <w:caps/>
      <w:color w:val="175F6E"/>
      <w:spacing w:val="15"/>
      <w:sz w:val="45"/>
      <w:szCs w:val="24"/>
    </w:rPr>
  </w:style>
  <w:style w:type="character" w:customStyle="1" w:styleId="SubtitleChar">
    <w:name w:val="Subtitle Char"/>
    <w:basedOn w:val="DefaultParagraphFont"/>
    <w:link w:val="Subtitle"/>
    <w:uiPriority w:val="11"/>
    <w:rsid w:val="00F20D53"/>
    <w:rPr>
      <w:rFonts w:ascii="Cambria" w:eastAsiaTheme="majorEastAsia" w:hAnsi="Cambria" w:cstheme="majorBidi"/>
      <w:iCs/>
      <w:caps/>
      <w:color w:val="175F6E"/>
      <w:spacing w:val="15"/>
      <w:sz w:val="45"/>
      <w:szCs w:val="24"/>
    </w:rPr>
  </w:style>
  <w:style w:type="paragraph" w:customStyle="1" w:styleId="Subtitlewhite">
    <w:name w:val="Subtitle white"/>
    <w:basedOn w:val="Subtitle"/>
    <w:link w:val="SubtitlewhiteChar"/>
    <w:qFormat/>
    <w:rsid w:val="00F20D53"/>
    <w:rPr>
      <w:color w:val="FFFFFF" w:themeColor="background1"/>
      <w:sz w:val="52"/>
    </w:rPr>
  </w:style>
  <w:style w:type="paragraph" w:styleId="Title">
    <w:name w:val="Title"/>
    <w:basedOn w:val="Normal"/>
    <w:next w:val="Normal"/>
    <w:link w:val="TitleChar"/>
    <w:uiPriority w:val="10"/>
    <w:qFormat/>
    <w:rsid w:val="00F20D53"/>
    <w:pPr>
      <w:contextualSpacing/>
    </w:pPr>
    <w:rPr>
      <w:rFonts w:eastAsiaTheme="majorEastAsia" w:cstheme="majorBidi"/>
      <w:caps/>
      <w:color w:val="175F6E"/>
      <w:spacing w:val="15"/>
      <w:kern w:val="28"/>
      <w:sz w:val="52"/>
      <w:szCs w:val="52"/>
    </w:rPr>
  </w:style>
  <w:style w:type="character" w:customStyle="1" w:styleId="SubtitlewhiteChar">
    <w:name w:val="Subtitle white Char"/>
    <w:basedOn w:val="SubtitleChar"/>
    <w:link w:val="Subtitlewhite"/>
    <w:rsid w:val="00F20D53"/>
    <w:rPr>
      <w:rFonts w:ascii="Cambria" w:eastAsiaTheme="majorEastAsia" w:hAnsi="Cambria" w:cstheme="majorBidi"/>
      <w:iCs/>
      <w:caps/>
      <w:color w:val="FFFFFF" w:themeColor="background1"/>
      <w:spacing w:val="15"/>
      <w:sz w:val="52"/>
      <w:szCs w:val="24"/>
    </w:rPr>
  </w:style>
  <w:style w:type="character" w:customStyle="1" w:styleId="TitleChar">
    <w:name w:val="Title Char"/>
    <w:basedOn w:val="DefaultParagraphFont"/>
    <w:link w:val="Title"/>
    <w:uiPriority w:val="10"/>
    <w:rsid w:val="00F20D53"/>
    <w:rPr>
      <w:rFonts w:ascii="Cambria" w:eastAsiaTheme="majorEastAsia" w:hAnsi="Cambria" w:cstheme="majorBidi"/>
      <w:caps/>
      <w:color w:val="175F6E"/>
      <w:spacing w:val="15"/>
      <w:kern w:val="28"/>
      <w:sz w:val="52"/>
      <w:szCs w:val="52"/>
    </w:rPr>
  </w:style>
  <w:style w:type="paragraph" w:styleId="ListParagraph">
    <w:name w:val="List Paragraph"/>
    <w:basedOn w:val="Normal"/>
    <w:link w:val="ListParagraphChar"/>
    <w:uiPriority w:val="34"/>
    <w:qFormat/>
    <w:rsid w:val="00F20D53"/>
    <w:pPr>
      <w:contextualSpacing/>
    </w:pPr>
  </w:style>
  <w:style w:type="paragraph" w:customStyle="1" w:styleId="Text">
    <w:name w:val="Text"/>
    <w:basedOn w:val="Normal"/>
    <w:link w:val="TextChar"/>
    <w:qFormat/>
    <w:rsid w:val="00BF31CD"/>
    <w:pPr>
      <w:tabs>
        <w:tab w:val="left" w:pos="9600"/>
      </w:tabs>
      <w:spacing w:after="240"/>
      <w:ind w:left="505" w:right="74"/>
      <w:jc w:val="both"/>
    </w:pPr>
    <w:rPr>
      <w:noProof/>
    </w:rPr>
  </w:style>
  <w:style w:type="paragraph" w:customStyle="1" w:styleId="HeaderText">
    <w:name w:val="Header Text"/>
    <w:basedOn w:val="Header"/>
    <w:link w:val="HeaderTextChar"/>
    <w:qFormat/>
    <w:rsid w:val="001E11A2"/>
    <w:pPr>
      <w:tabs>
        <w:tab w:val="clear" w:pos="4819"/>
        <w:tab w:val="clear" w:pos="9638"/>
        <w:tab w:val="right" w:pos="10086"/>
      </w:tabs>
    </w:pPr>
    <w:rPr>
      <w:bCs/>
      <w:caps/>
      <w:color w:val="9A9A9A" w:themeColor="text2"/>
      <w:sz w:val="16"/>
      <w:szCs w:val="28"/>
    </w:rPr>
  </w:style>
  <w:style w:type="character" w:customStyle="1" w:styleId="TextChar">
    <w:name w:val="Text Char"/>
    <w:basedOn w:val="DefaultParagraphFont"/>
    <w:link w:val="Text"/>
    <w:rsid w:val="00BF31CD"/>
    <w:rPr>
      <w:noProof/>
      <w:sz w:val="24"/>
    </w:rPr>
  </w:style>
  <w:style w:type="paragraph" w:customStyle="1" w:styleId="TextWhite">
    <w:name w:val="Text White"/>
    <w:basedOn w:val="Text"/>
    <w:link w:val="TextWhiteChar"/>
    <w:qFormat/>
    <w:rsid w:val="00F20D53"/>
    <w:pPr>
      <w:ind w:left="0"/>
    </w:pPr>
    <w:rPr>
      <w:color w:val="FFFFFF" w:themeColor="background1"/>
      <w:sz w:val="32"/>
    </w:rPr>
  </w:style>
  <w:style w:type="character" w:customStyle="1" w:styleId="HeaderTextChar">
    <w:name w:val="Header Text Char"/>
    <w:basedOn w:val="HeaderChar"/>
    <w:link w:val="HeaderText"/>
    <w:rsid w:val="001E11A2"/>
    <w:rPr>
      <w:bCs/>
      <w:caps/>
      <w:color w:val="9A9A9A" w:themeColor="text2"/>
      <w:sz w:val="16"/>
      <w:szCs w:val="28"/>
    </w:rPr>
  </w:style>
  <w:style w:type="paragraph" w:customStyle="1" w:styleId="TextWhiteUP">
    <w:name w:val="Text White UP"/>
    <w:basedOn w:val="Normal"/>
    <w:link w:val="TextWhiteUPChar"/>
    <w:autoRedefine/>
    <w:qFormat/>
    <w:rsid w:val="00F20D53"/>
    <w:rPr>
      <w:caps/>
      <w:color w:val="FFFFFF" w:themeColor="background1"/>
      <w:sz w:val="32"/>
    </w:rPr>
  </w:style>
  <w:style w:type="character" w:customStyle="1" w:styleId="TextWhiteChar">
    <w:name w:val="Text White Char"/>
    <w:basedOn w:val="DefaultParagraphFont"/>
    <w:link w:val="TextWhite"/>
    <w:rsid w:val="00F20D53"/>
    <w:rPr>
      <w:rFonts w:ascii="Cambria" w:hAnsi="Cambria"/>
      <w:noProof/>
      <w:color w:val="FFFFFF" w:themeColor="background1"/>
      <w:sz w:val="32"/>
    </w:rPr>
  </w:style>
  <w:style w:type="character" w:customStyle="1" w:styleId="TextWhiteUPChar">
    <w:name w:val="Text White UP Char"/>
    <w:basedOn w:val="TextWhiteChar"/>
    <w:link w:val="TextWhiteUP"/>
    <w:rsid w:val="00F20D53"/>
    <w:rPr>
      <w:rFonts w:ascii="Cambria" w:hAnsi="Cambria"/>
      <w:caps/>
      <w:noProof/>
      <w:color w:val="FFFFFF" w:themeColor="background1"/>
      <w:sz w:val="32"/>
    </w:rPr>
  </w:style>
  <w:style w:type="paragraph" w:styleId="TOCHeading">
    <w:name w:val="TOC Heading"/>
    <w:basedOn w:val="Heading1"/>
    <w:next w:val="Normal"/>
    <w:uiPriority w:val="39"/>
    <w:unhideWhenUsed/>
    <w:qFormat/>
    <w:rsid w:val="00C349B6"/>
    <w:pPr>
      <w:spacing w:before="360"/>
      <w:outlineLvl w:val="9"/>
    </w:pPr>
    <w:rPr>
      <w:color w:val="00505E"/>
      <w:lang w:val="en-US" w:eastAsia="ja-JP"/>
    </w:rPr>
  </w:style>
  <w:style w:type="paragraph" w:styleId="TOC1">
    <w:name w:val="toc 1"/>
    <w:basedOn w:val="Normal"/>
    <w:next w:val="Normal"/>
    <w:autoRedefine/>
    <w:uiPriority w:val="39"/>
    <w:unhideWhenUsed/>
    <w:rsid w:val="0017092B"/>
    <w:pPr>
      <w:tabs>
        <w:tab w:val="right" w:leader="dot" w:pos="10076"/>
      </w:tabs>
      <w:spacing w:after="100"/>
    </w:pPr>
    <w:rPr>
      <w:color w:val="343435"/>
      <w:sz w:val="22"/>
    </w:rPr>
  </w:style>
  <w:style w:type="character" w:styleId="Hyperlink">
    <w:name w:val="Hyperlink"/>
    <w:basedOn w:val="DefaultParagraphFont"/>
    <w:uiPriority w:val="99"/>
    <w:unhideWhenUsed/>
    <w:rsid w:val="00333DD6"/>
    <w:rPr>
      <w:color w:val="0000FF" w:themeColor="hyperlink"/>
      <w:u w:val="single"/>
    </w:rPr>
  </w:style>
  <w:style w:type="paragraph" w:styleId="TOC2">
    <w:name w:val="toc 2"/>
    <w:basedOn w:val="Normal"/>
    <w:next w:val="Normal"/>
    <w:autoRedefine/>
    <w:uiPriority w:val="39"/>
    <w:unhideWhenUsed/>
    <w:rsid w:val="008B4B82"/>
    <w:pPr>
      <w:tabs>
        <w:tab w:val="left" w:pos="794"/>
        <w:tab w:val="right" w:leader="dot" w:pos="10076"/>
      </w:tabs>
      <w:spacing w:after="100"/>
    </w:pPr>
    <w:rPr>
      <w:rFonts w:asciiTheme="minorHAnsi" w:hAnsiTheme="minorHAnsi"/>
      <w:bCs/>
      <w:noProof/>
      <w:color w:val="343435"/>
      <w:szCs w:val="24"/>
    </w:rPr>
  </w:style>
  <w:style w:type="character" w:customStyle="1" w:styleId="Heading4Char">
    <w:name w:val="Heading 4 Char"/>
    <w:basedOn w:val="DefaultParagraphFont"/>
    <w:link w:val="Heading4"/>
    <w:uiPriority w:val="9"/>
    <w:rsid w:val="005058B5"/>
    <w:rPr>
      <w:rFonts w:ascii="Cambria" w:eastAsia="Lucida Sans Unicode" w:hAnsi="Cambria" w:cstheme="majorBidi"/>
      <w:bCs/>
      <w:color w:val="00505E"/>
      <w:sz w:val="26"/>
      <w:szCs w:val="26"/>
    </w:rPr>
  </w:style>
  <w:style w:type="paragraph" w:styleId="TOC3">
    <w:name w:val="toc 3"/>
    <w:basedOn w:val="Normal"/>
    <w:next w:val="Normal"/>
    <w:autoRedefine/>
    <w:uiPriority w:val="39"/>
    <w:unhideWhenUsed/>
    <w:rsid w:val="00F20D53"/>
    <w:pPr>
      <w:tabs>
        <w:tab w:val="left" w:pos="1418"/>
        <w:tab w:val="left" w:pos="1531"/>
        <w:tab w:val="right" w:leader="dot" w:pos="10076"/>
      </w:tabs>
      <w:spacing w:after="100"/>
      <w:ind w:left="794"/>
    </w:pPr>
    <w:rPr>
      <w:color w:val="343435"/>
      <w:sz w:val="22"/>
    </w:rPr>
  </w:style>
  <w:style w:type="table" w:styleId="TableGrid">
    <w:name w:val="Table Grid"/>
    <w:basedOn w:val="TableNormal"/>
    <w:uiPriority w:val="59"/>
    <w:rsid w:val="008A2BFC"/>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rPr>
    </w:tblStylePr>
    <w:tblStylePr w:type="lastRow">
      <w:rPr>
        <w:rFonts w:asciiTheme="minorHAnsi" w:hAnsiTheme="minorHAnsi"/>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rPr>
    </w:tblStylePr>
    <w:tblStylePr w:type="band2Horz">
      <w:rPr>
        <w:rFonts w:asciiTheme="minorHAnsi" w:hAnsiTheme="minorHAnsi"/>
      </w:rPr>
    </w:tblStylePr>
  </w:style>
  <w:style w:type="paragraph" w:styleId="Caption">
    <w:name w:val="caption"/>
    <w:aliases w:val="Table caption,paveikslas,Paveikslo pavadinimas,TabelOverskrift,Char Char Char,Caption1 Char Char Char Char Char Char Char Char,Caption1 Char Char Char Char Char Char Char Char Tegn Tegn Tegn Tegn Tegn,Tabelkop"/>
    <w:basedOn w:val="Normal"/>
    <w:next w:val="Normal"/>
    <w:link w:val="CaptionChar"/>
    <w:unhideWhenUsed/>
    <w:qFormat/>
    <w:rsid w:val="00F20D53"/>
    <w:rPr>
      <w:b/>
      <w:bCs/>
      <w:sz w:val="22"/>
      <w:szCs w:val="18"/>
    </w:rPr>
  </w:style>
  <w:style w:type="paragraph" w:styleId="TableofFigures">
    <w:name w:val="table of figures"/>
    <w:basedOn w:val="Normal"/>
    <w:next w:val="Normal"/>
    <w:uiPriority w:val="99"/>
    <w:unhideWhenUsed/>
    <w:rsid w:val="00614BF4"/>
    <w:pPr>
      <w:ind w:left="505"/>
    </w:pPr>
  </w:style>
  <w:style w:type="table" w:styleId="MediumShading1-Accent3">
    <w:name w:val="Medium Shading 1 Accent 3"/>
    <w:basedOn w:val="TableNormal"/>
    <w:uiPriority w:val="63"/>
    <w:rsid w:val="008D7330"/>
    <w:pPr>
      <w:spacing w:after="0" w:line="240" w:lineRule="auto"/>
    </w:pPr>
    <w:tblPr>
      <w:tblStyleRowBandSize w:val="1"/>
      <w:tblStyleColBandSize w:val="1"/>
      <w:tblBorders>
        <w:top w:val="single" w:sz="8" w:space="0" w:color="C3D1D8" w:themeColor="accent3" w:themeTint="BF"/>
        <w:left w:val="single" w:sz="8" w:space="0" w:color="C3D1D8" w:themeColor="accent3" w:themeTint="BF"/>
        <w:bottom w:val="single" w:sz="8" w:space="0" w:color="C3D1D8" w:themeColor="accent3" w:themeTint="BF"/>
        <w:right w:val="single" w:sz="8" w:space="0" w:color="C3D1D8" w:themeColor="accent3" w:themeTint="BF"/>
        <w:insideH w:val="single" w:sz="8" w:space="0" w:color="C3D1D8" w:themeColor="accent3" w:themeTint="BF"/>
      </w:tblBorders>
    </w:tblPr>
    <w:tblStylePr w:type="firstRow">
      <w:pPr>
        <w:spacing w:before="0" w:after="0" w:line="240" w:lineRule="auto"/>
      </w:pPr>
      <w:rPr>
        <w:b/>
        <w:bCs/>
        <w:color w:val="FFFFFF" w:themeColor="background1"/>
      </w:rPr>
      <w:tblPr/>
      <w:tcPr>
        <w:tcBorders>
          <w:top w:val="single" w:sz="8" w:space="0" w:color="C3D1D8" w:themeColor="accent3" w:themeTint="BF"/>
          <w:left w:val="single" w:sz="8" w:space="0" w:color="C3D1D8" w:themeColor="accent3" w:themeTint="BF"/>
          <w:bottom w:val="single" w:sz="8" w:space="0" w:color="C3D1D8" w:themeColor="accent3" w:themeTint="BF"/>
          <w:right w:val="single" w:sz="8" w:space="0" w:color="C3D1D8" w:themeColor="accent3" w:themeTint="BF"/>
          <w:insideH w:val="nil"/>
          <w:insideV w:val="nil"/>
        </w:tcBorders>
        <w:shd w:val="clear" w:color="auto" w:fill="AFC3CB" w:themeFill="accent3"/>
      </w:tcPr>
    </w:tblStylePr>
    <w:tblStylePr w:type="lastRow">
      <w:pPr>
        <w:spacing w:before="0" w:after="0" w:line="240" w:lineRule="auto"/>
      </w:pPr>
      <w:rPr>
        <w:b/>
        <w:bCs/>
      </w:rPr>
      <w:tblPr/>
      <w:tcPr>
        <w:tcBorders>
          <w:top w:val="double" w:sz="6" w:space="0" w:color="C3D1D8" w:themeColor="accent3" w:themeTint="BF"/>
          <w:left w:val="single" w:sz="8" w:space="0" w:color="C3D1D8" w:themeColor="accent3" w:themeTint="BF"/>
          <w:bottom w:val="single" w:sz="8" w:space="0" w:color="C3D1D8" w:themeColor="accent3" w:themeTint="BF"/>
          <w:right w:val="single" w:sz="8" w:space="0" w:color="C3D1D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BF0F2" w:themeFill="accent3" w:themeFillTint="3F"/>
      </w:tcPr>
    </w:tblStylePr>
    <w:tblStylePr w:type="band1Horz">
      <w:tblPr/>
      <w:tcPr>
        <w:tcBorders>
          <w:insideH w:val="nil"/>
          <w:insideV w:val="nil"/>
        </w:tcBorders>
        <w:shd w:val="clear" w:color="auto" w:fill="EBF0F2" w:themeFill="accent3" w:themeFillTint="3F"/>
      </w:tcPr>
    </w:tblStylePr>
    <w:tblStylePr w:type="band2Horz">
      <w:tblPr/>
      <w:tcPr>
        <w:tcBorders>
          <w:insideH w:val="nil"/>
          <w:insideV w:val="nil"/>
        </w:tcBorders>
      </w:tcPr>
    </w:tblStylePr>
  </w:style>
  <w:style w:type="table" w:customStyle="1" w:styleId="VPVILentele1">
    <w:name w:val="VPVI Lentele 1"/>
    <w:basedOn w:val="TableGrid"/>
    <w:uiPriority w:val="99"/>
    <w:rsid w:val="009E49F9"/>
    <w:pPr>
      <w:spacing w:line="276" w:lineRule="auto"/>
      <w:contextualSpacing/>
    </w:pPr>
    <w:rPr>
      <w:sz w:val="20"/>
    </w:rPr>
    <w:tblPr>
      <w:tblInd w:w="142" w:type="dxa"/>
    </w:tblPr>
    <w:tblStylePr w:type="firstRow">
      <w:pPr>
        <w:wordWrap/>
        <w:spacing w:line="276" w:lineRule="auto"/>
        <w:jc w:val="center"/>
      </w:pPr>
      <w:rPr>
        <w:rFonts w:asciiTheme="minorHAnsi" w:hAnsiTheme="minorHAnsi"/>
        <w:b/>
        <w:sz w:val="22"/>
      </w:rPr>
      <w:tblPr/>
      <w:tcPr>
        <w:shd w:val="clear" w:color="auto" w:fill="00505E"/>
      </w:tcPr>
    </w:tblStylePr>
    <w:tblStylePr w:type="lastRow">
      <w:pPr>
        <w:wordWrap/>
        <w:spacing w:beforeLines="0" w:beforeAutospacing="0" w:afterLines="0" w:afterAutospacing="0" w:line="276" w:lineRule="auto"/>
        <w:ind w:leftChars="0" w:left="0" w:rightChars="0" w:right="0"/>
        <w:jc w:val="left"/>
      </w:pPr>
      <w:rPr>
        <w:rFonts w:asciiTheme="minorHAnsi" w:hAnsiTheme="minorHAnsi"/>
        <w:sz w:val="18"/>
      </w:rPr>
      <w:tblPr/>
      <w:tcPr>
        <w:tcBorders>
          <w:top w:val="nil"/>
          <w:left w:val="nil"/>
          <w:bottom w:val="nil"/>
          <w:right w:val="nil"/>
          <w:insideH w:val="nil"/>
          <w:insideV w:val="nil"/>
          <w:tl2br w:val="nil"/>
          <w:tr2bl w:val="nil"/>
        </w:tcBorders>
      </w:tcPr>
    </w:tblStylePr>
    <w:tblStylePr w:type="firstCol">
      <w:pPr>
        <w:wordWrap/>
        <w:spacing w:line="276" w:lineRule="auto"/>
        <w:jc w:val="left"/>
      </w:pPr>
      <w:rPr>
        <w:rFonts w:asciiTheme="minorHAnsi" w:hAnsiTheme="minorHAnsi"/>
      </w:rPr>
    </w:tblStylePr>
    <w:tblStylePr w:type="lastCol">
      <w:pPr>
        <w:wordWrap/>
        <w:spacing w:line="276" w:lineRule="auto"/>
        <w:jc w:val="left"/>
      </w:pPr>
      <w:rPr>
        <w:rFonts w:asciiTheme="minorHAnsi" w:hAnsiTheme="minorHAnsi"/>
      </w:rPr>
    </w:tblStylePr>
    <w:tblStylePr w:type="band1Vert">
      <w:pPr>
        <w:jc w:val="left"/>
      </w:pPr>
      <w:rPr>
        <w:rFonts w:asciiTheme="minorHAnsi" w:hAnsiTheme="minorHAnsi"/>
      </w:rPr>
    </w:tblStylePr>
    <w:tblStylePr w:type="band2Vert">
      <w:pPr>
        <w:jc w:val="left"/>
      </w:pPr>
      <w:rPr>
        <w:rFonts w:asciiTheme="minorHAnsi" w:hAnsiTheme="minorHAnsi"/>
      </w:rPr>
    </w:tblStylePr>
    <w:tblStylePr w:type="band1Horz">
      <w:pPr>
        <w:wordWrap/>
        <w:spacing w:beforeLines="0" w:beforeAutospacing="0" w:afterLines="0" w:afterAutospacing="0" w:line="276" w:lineRule="auto"/>
        <w:jc w:val="left"/>
      </w:pPr>
      <w:rPr>
        <w:rFonts w:asciiTheme="minorHAnsi" w:hAnsiTheme="minorHAnsi"/>
        <w:b w:val="0"/>
        <w:sz w:val="20"/>
      </w:rPr>
      <w:tblPr/>
      <w:tcPr>
        <w:shd w:val="clear" w:color="auto" w:fill="F6E2A3"/>
      </w:tcPr>
    </w:tblStylePr>
    <w:tblStylePr w:type="band2Horz">
      <w:pPr>
        <w:wordWrap/>
        <w:spacing w:beforeLines="0" w:beforeAutospacing="0" w:afterLines="0" w:afterAutospacing="0" w:line="276" w:lineRule="auto"/>
        <w:ind w:firstLineChars="0" w:firstLine="0"/>
        <w:jc w:val="left"/>
      </w:pPr>
      <w:rPr>
        <w:rFonts w:asciiTheme="minorHAnsi" w:hAnsiTheme="minorHAnsi"/>
        <w:b w:val="0"/>
        <w:sz w:val="20"/>
      </w:rPr>
    </w:tblStylePr>
    <w:tblStylePr w:type="neCell">
      <w:pPr>
        <w:wordWrap/>
        <w:spacing w:beforeLines="0" w:beforeAutospacing="0" w:afterLines="0" w:afterAutospacing="0" w:line="276" w:lineRule="auto"/>
        <w:contextualSpacing/>
        <w:jc w:val="center"/>
      </w:pPr>
      <w:rPr>
        <w:rFonts w:asciiTheme="minorHAnsi" w:hAnsiTheme="minorHAnsi"/>
        <w:sz w:val="22"/>
      </w:rPr>
    </w:tblStylePr>
    <w:tblStylePr w:type="nwCell">
      <w:pPr>
        <w:jc w:val="left"/>
      </w:pPr>
      <w:rPr>
        <w:rFonts w:asciiTheme="minorHAnsi" w:hAnsiTheme="minorHAnsi"/>
      </w:rPr>
    </w:tblStylePr>
    <w:tblStylePr w:type="seCell">
      <w:pPr>
        <w:jc w:val="left"/>
      </w:pPr>
      <w:rPr>
        <w:rFonts w:asciiTheme="minorHAnsi" w:hAnsiTheme="minorHAnsi"/>
        <w:sz w:val="18"/>
      </w:rPr>
    </w:tblStylePr>
    <w:tblStylePr w:type="swCell">
      <w:pPr>
        <w:jc w:val="left"/>
      </w:pPr>
      <w:rPr>
        <w:rFonts w:asciiTheme="minorHAnsi" w:hAnsiTheme="minorHAnsi"/>
        <w:sz w:val="18"/>
      </w:rPr>
    </w:tblStylePr>
  </w:style>
  <w:style w:type="paragraph" w:styleId="EndnoteText">
    <w:name w:val="endnote text"/>
    <w:basedOn w:val="Normal"/>
    <w:link w:val="EndnoteTextChar"/>
    <w:uiPriority w:val="99"/>
    <w:semiHidden/>
    <w:unhideWhenUsed/>
    <w:rsid w:val="003348FA"/>
    <w:rPr>
      <w:sz w:val="20"/>
      <w:szCs w:val="20"/>
    </w:rPr>
  </w:style>
  <w:style w:type="paragraph" w:customStyle="1" w:styleId="ListParagraph2">
    <w:name w:val="List Paragraph 2"/>
    <w:basedOn w:val="ListParagraph"/>
    <w:qFormat/>
    <w:rsid w:val="00F20D53"/>
    <w:rPr>
      <w:bCs/>
      <w:sz w:val="20"/>
      <w:szCs w:val="20"/>
    </w:rPr>
  </w:style>
  <w:style w:type="character" w:customStyle="1" w:styleId="EndnoteTextChar">
    <w:name w:val="Endnote Text Char"/>
    <w:basedOn w:val="DefaultParagraphFont"/>
    <w:link w:val="EndnoteText"/>
    <w:uiPriority w:val="99"/>
    <w:semiHidden/>
    <w:rsid w:val="003348FA"/>
    <w:rPr>
      <w:sz w:val="20"/>
      <w:szCs w:val="20"/>
    </w:rPr>
  </w:style>
  <w:style w:type="table" w:customStyle="1" w:styleId="VPVILentele2">
    <w:name w:val="VPVI Lentele 2"/>
    <w:basedOn w:val="VPVILentele1"/>
    <w:uiPriority w:val="99"/>
    <w:rsid w:val="009E49F9"/>
    <w:tblPr/>
    <w:tblStylePr w:type="firstRow">
      <w:pPr>
        <w:wordWrap/>
        <w:spacing w:line="276" w:lineRule="auto"/>
        <w:jc w:val="center"/>
      </w:pPr>
      <w:rPr>
        <w:rFonts w:asciiTheme="minorHAnsi" w:hAnsiTheme="minorHAnsi"/>
        <w:b/>
        <w:sz w:val="22"/>
      </w:rPr>
      <w:tblPr/>
      <w:tcPr>
        <w:shd w:val="clear" w:color="auto" w:fill="00505E"/>
      </w:tcPr>
    </w:tblStylePr>
    <w:tblStylePr w:type="lastRow">
      <w:pPr>
        <w:wordWrap/>
        <w:spacing w:beforeLines="0" w:beforeAutospacing="0" w:afterLines="0" w:afterAutospacing="0" w:line="276" w:lineRule="auto"/>
        <w:ind w:leftChars="0" w:left="0" w:rightChars="0" w:right="0"/>
        <w:jc w:val="left"/>
      </w:pPr>
      <w:rPr>
        <w:rFonts w:asciiTheme="minorHAnsi" w:hAnsiTheme="minorHAnsi"/>
        <w:b w:val="0"/>
        <w:sz w:val="18"/>
      </w:rPr>
      <w:tblPr/>
      <w:tcPr>
        <w:tcBorders>
          <w:top w:val="nil"/>
          <w:left w:val="nil"/>
          <w:bottom w:val="nil"/>
          <w:right w:val="nil"/>
          <w:insideH w:val="nil"/>
          <w:insideV w:val="nil"/>
          <w:tl2br w:val="nil"/>
          <w:tr2bl w:val="nil"/>
        </w:tcBorders>
      </w:tcPr>
    </w:tblStylePr>
    <w:tblStylePr w:type="firstCol">
      <w:pPr>
        <w:wordWrap/>
        <w:spacing w:line="276" w:lineRule="auto"/>
        <w:jc w:val="left"/>
      </w:pPr>
      <w:rPr>
        <w:rFonts w:asciiTheme="minorHAnsi" w:hAnsiTheme="minorHAnsi"/>
      </w:rPr>
    </w:tblStylePr>
    <w:tblStylePr w:type="lastCol">
      <w:pPr>
        <w:wordWrap/>
        <w:spacing w:line="276" w:lineRule="auto"/>
        <w:jc w:val="left"/>
      </w:pPr>
      <w:rPr>
        <w:rFonts w:asciiTheme="minorHAnsi" w:hAnsiTheme="minorHAnsi"/>
      </w:rPr>
    </w:tblStylePr>
    <w:tblStylePr w:type="band1Vert">
      <w:pPr>
        <w:jc w:val="left"/>
      </w:pPr>
      <w:rPr>
        <w:rFonts w:asciiTheme="minorHAnsi" w:hAnsiTheme="minorHAnsi"/>
      </w:rPr>
    </w:tblStylePr>
    <w:tblStylePr w:type="band2Vert">
      <w:pPr>
        <w:jc w:val="left"/>
      </w:pPr>
      <w:rPr>
        <w:rFonts w:asciiTheme="minorHAnsi" w:hAnsiTheme="minorHAnsi"/>
      </w:rPr>
    </w:tblStylePr>
    <w:tblStylePr w:type="band1Horz">
      <w:pPr>
        <w:wordWrap/>
        <w:spacing w:beforeLines="0" w:beforeAutospacing="0" w:afterLines="0" w:afterAutospacing="0" w:line="276" w:lineRule="auto"/>
        <w:jc w:val="left"/>
      </w:pPr>
      <w:rPr>
        <w:rFonts w:asciiTheme="minorHAnsi" w:hAnsiTheme="minorHAnsi"/>
        <w:b w:val="0"/>
        <w:sz w:val="20"/>
      </w:rPr>
      <w:tblPr/>
      <w:tcPr>
        <w:shd w:val="clear" w:color="auto" w:fill="F6E2A3"/>
      </w:tcPr>
    </w:tblStylePr>
    <w:tblStylePr w:type="band2Horz">
      <w:pPr>
        <w:wordWrap/>
        <w:spacing w:beforeLines="0" w:beforeAutospacing="0" w:afterLines="0" w:afterAutospacing="0" w:line="276" w:lineRule="auto"/>
        <w:ind w:firstLineChars="0" w:firstLine="0"/>
        <w:jc w:val="left"/>
      </w:pPr>
      <w:rPr>
        <w:rFonts w:asciiTheme="minorHAnsi" w:hAnsiTheme="minorHAnsi"/>
        <w:b w:val="0"/>
        <w:sz w:val="20"/>
      </w:rPr>
    </w:tblStylePr>
    <w:tblStylePr w:type="neCell">
      <w:pPr>
        <w:wordWrap/>
        <w:spacing w:beforeLines="0" w:beforeAutospacing="0" w:afterLines="0" w:afterAutospacing="0" w:line="276" w:lineRule="auto"/>
        <w:contextualSpacing/>
        <w:jc w:val="center"/>
      </w:pPr>
      <w:rPr>
        <w:rFonts w:asciiTheme="minorHAnsi" w:hAnsiTheme="minorHAnsi"/>
        <w:sz w:val="22"/>
      </w:rPr>
    </w:tblStylePr>
    <w:tblStylePr w:type="nwCell">
      <w:pPr>
        <w:jc w:val="left"/>
      </w:pPr>
      <w:rPr>
        <w:rFonts w:asciiTheme="minorHAnsi" w:hAnsiTheme="minorHAnsi"/>
      </w:rPr>
    </w:tblStylePr>
    <w:tblStylePr w:type="seCell">
      <w:pPr>
        <w:jc w:val="left"/>
      </w:pPr>
      <w:rPr>
        <w:rFonts w:ascii="Lucida Sans Unicode" w:hAnsi="Lucida Sans Unicode"/>
        <w:sz w:val="18"/>
      </w:rPr>
    </w:tblStylePr>
    <w:tblStylePr w:type="swCell">
      <w:pPr>
        <w:jc w:val="left"/>
      </w:pPr>
      <w:rPr>
        <w:rFonts w:ascii="Lucida Sans Unicode" w:hAnsi="Lucida Sans Unicode"/>
        <w:sz w:val="18"/>
      </w:rPr>
    </w:tblStylePr>
  </w:style>
  <w:style w:type="character" w:customStyle="1" w:styleId="Heading5Char">
    <w:name w:val="Heading 5 Char"/>
    <w:basedOn w:val="DefaultParagraphFont"/>
    <w:link w:val="Heading5"/>
    <w:uiPriority w:val="9"/>
    <w:rsid w:val="005058B5"/>
    <w:rPr>
      <w:rFonts w:ascii="Cambria" w:eastAsiaTheme="majorEastAsia" w:hAnsi="Cambria" w:cstheme="majorBidi"/>
      <w:bCs/>
      <w:color w:val="00505E"/>
      <w:sz w:val="24"/>
      <w:szCs w:val="26"/>
    </w:rPr>
  </w:style>
  <w:style w:type="character" w:customStyle="1" w:styleId="Heading6Char">
    <w:name w:val="Heading 6 Char"/>
    <w:basedOn w:val="DefaultParagraphFont"/>
    <w:link w:val="Heading6"/>
    <w:uiPriority w:val="9"/>
    <w:rsid w:val="00F20D53"/>
    <w:rPr>
      <w:rFonts w:ascii="Cambria" w:eastAsiaTheme="majorEastAsia" w:hAnsi="Cambria" w:cstheme="majorBidi"/>
      <w:bCs/>
      <w:color w:val="00505E"/>
      <w:sz w:val="24"/>
      <w:szCs w:val="26"/>
    </w:rPr>
  </w:style>
  <w:style w:type="paragraph" w:styleId="TOC4">
    <w:name w:val="toc 4"/>
    <w:basedOn w:val="Normal"/>
    <w:next w:val="Normal"/>
    <w:autoRedefine/>
    <w:uiPriority w:val="39"/>
    <w:unhideWhenUsed/>
    <w:rsid w:val="00B6422A"/>
    <w:pPr>
      <w:tabs>
        <w:tab w:val="left" w:pos="2041"/>
        <w:tab w:val="left" w:pos="2155"/>
        <w:tab w:val="right" w:leader="dot" w:pos="10076"/>
      </w:tabs>
      <w:spacing w:after="100"/>
      <w:ind w:left="794"/>
    </w:pPr>
    <w:rPr>
      <w:noProof/>
      <w:color w:val="343435"/>
      <w:sz w:val="22"/>
    </w:rPr>
  </w:style>
  <w:style w:type="paragraph" w:styleId="Index1">
    <w:name w:val="index 1"/>
    <w:basedOn w:val="Normal"/>
    <w:next w:val="Normal"/>
    <w:autoRedefine/>
    <w:uiPriority w:val="99"/>
    <w:semiHidden/>
    <w:unhideWhenUsed/>
    <w:rsid w:val="00427E9A"/>
    <w:pPr>
      <w:ind w:left="240" w:hanging="240"/>
    </w:pPr>
  </w:style>
  <w:style w:type="paragraph" w:styleId="TOC5">
    <w:name w:val="toc 5"/>
    <w:basedOn w:val="Normal"/>
    <w:next w:val="Normal"/>
    <w:autoRedefine/>
    <w:uiPriority w:val="39"/>
    <w:unhideWhenUsed/>
    <w:rsid w:val="00F20D53"/>
    <w:pPr>
      <w:tabs>
        <w:tab w:val="left" w:pos="2722"/>
        <w:tab w:val="left" w:pos="2835"/>
        <w:tab w:val="right" w:leader="dot" w:pos="10076"/>
      </w:tabs>
      <w:spacing w:after="100"/>
      <w:ind w:left="1588"/>
    </w:pPr>
    <w:rPr>
      <w:color w:val="343435"/>
      <w:sz w:val="22"/>
    </w:rPr>
  </w:style>
  <w:style w:type="character" w:customStyle="1" w:styleId="Heading7Char">
    <w:name w:val="Heading 7 Char"/>
    <w:basedOn w:val="DefaultParagraphFont"/>
    <w:link w:val="Heading7"/>
    <w:uiPriority w:val="9"/>
    <w:rsid w:val="00F20D53"/>
    <w:rPr>
      <w:rFonts w:ascii="Cambria" w:eastAsiaTheme="majorEastAsia" w:hAnsi="Cambria" w:cstheme="majorBidi"/>
      <w:b/>
      <w:iCs/>
      <w:noProof/>
      <w:sz w:val="20"/>
    </w:rPr>
  </w:style>
  <w:style w:type="character" w:styleId="IntenseEmphasis">
    <w:name w:val="Intense Emphasis"/>
    <w:basedOn w:val="DefaultParagraphFont"/>
    <w:uiPriority w:val="21"/>
    <w:qFormat/>
    <w:rsid w:val="00B71153"/>
    <w:rPr>
      <w:b/>
      <w:bCs/>
      <w:i/>
      <w:iCs/>
      <w:color w:val="175F6E"/>
    </w:rPr>
  </w:style>
  <w:style w:type="paragraph" w:styleId="IntenseQuote">
    <w:name w:val="Intense Quote"/>
    <w:basedOn w:val="Normal"/>
    <w:next w:val="Normal"/>
    <w:link w:val="IntenseQuoteChar"/>
    <w:uiPriority w:val="30"/>
    <w:qFormat/>
    <w:rsid w:val="00B71153"/>
    <w:pPr>
      <w:pBdr>
        <w:bottom w:val="single" w:sz="4" w:space="4" w:color="175F6E"/>
      </w:pBdr>
      <w:spacing w:before="200" w:after="280"/>
      <w:ind w:left="936" w:right="936"/>
    </w:pPr>
    <w:rPr>
      <w:b/>
      <w:bCs/>
      <w:i/>
      <w:iCs/>
      <w:color w:val="175F6E"/>
    </w:rPr>
  </w:style>
  <w:style w:type="character" w:customStyle="1" w:styleId="IntenseQuoteChar">
    <w:name w:val="Intense Quote Char"/>
    <w:basedOn w:val="DefaultParagraphFont"/>
    <w:link w:val="IntenseQuote"/>
    <w:uiPriority w:val="30"/>
    <w:rsid w:val="00B71153"/>
    <w:rPr>
      <w:b/>
      <w:bCs/>
      <w:i/>
      <w:iCs/>
      <w:color w:val="175F6E"/>
      <w:sz w:val="24"/>
    </w:rPr>
  </w:style>
  <w:style w:type="character" w:styleId="SubtleReference">
    <w:name w:val="Subtle Reference"/>
    <w:basedOn w:val="DefaultParagraphFont"/>
    <w:uiPriority w:val="31"/>
    <w:qFormat/>
    <w:rsid w:val="00B71153"/>
    <w:rPr>
      <w:smallCaps/>
      <w:color w:val="175F6E"/>
      <w:u w:val="single"/>
    </w:rPr>
  </w:style>
  <w:style w:type="character" w:styleId="IntenseReference">
    <w:name w:val="Intense Reference"/>
    <w:basedOn w:val="DefaultParagraphFont"/>
    <w:uiPriority w:val="32"/>
    <w:qFormat/>
    <w:rsid w:val="00B71153"/>
    <w:rPr>
      <w:b/>
      <w:bCs/>
      <w:smallCaps/>
      <w:color w:val="175F6E"/>
      <w:spacing w:val="5"/>
      <w:u w:val="single"/>
    </w:rPr>
  </w:style>
  <w:style w:type="paragraph" w:styleId="FootnoteText">
    <w:name w:val="footnote text"/>
    <w:aliases w:val="Footnote Text Char Char,Footnote,Footnote Text Char Char Char Char Char Char,Footnote Text Char Char Char Char Char,Footnote text,fn,Footnote Text Blue,Footnote Text Blue Char Char Char Char,stile 1,Footnote1,Footnote2,Footnote3"/>
    <w:basedOn w:val="Normal"/>
    <w:link w:val="FootnoteTextChar"/>
    <w:uiPriority w:val="99"/>
    <w:unhideWhenUsed/>
    <w:qFormat/>
    <w:rsid w:val="00120F42"/>
    <w:rPr>
      <w:sz w:val="20"/>
      <w:szCs w:val="20"/>
    </w:rPr>
  </w:style>
  <w:style w:type="character" w:customStyle="1" w:styleId="FootnoteTextChar">
    <w:name w:val="Footnote Text Char"/>
    <w:aliases w:val="Footnote Text Char Char Char,Footnote Char,Footnote Text Char Char Char Char Char Char Char,Footnote Text Char Char Char Char Char Char1,Footnote text Char,fn Char,Footnote Text Blue Char,Footnote Text Blue Char Char Char Char Char"/>
    <w:basedOn w:val="DefaultParagraphFont"/>
    <w:link w:val="FootnoteText"/>
    <w:uiPriority w:val="99"/>
    <w:rsid w:val="00120F42"/>
    <w:rPr>
      <w:sz w:val="20"/>
      <w:szCs w:val="20"/>
    </w:rPr>
  </w:style>
  <w:style w:type="character" w:styleId="FootnoteReference">
    <w:name w:val="footnote reference"/>
    <w:aliases w:val="Footnote Reference Number,BVI fnr,Footnote symbol,Footnote anchor,Times 10 Point,Exposant 3 Point,Footnote reference number,Voetnootverwijzing,Footnote number,fr,Footnotemark,FR,Footnotemark1,Footnotemark2,FR1,Footnotemark3,FR2,SUPER"/>
    <w:basedOn w:val="DefaultParagraphFont"/>
    <w:uiPriority w:val="99"/>
    <w:unhideWhenUsed/>
    <w:qFormat/>
    <w:rsid w:val="00120F42"/>
    <w:rPr>
      <w:vertAlign w:val="superscript"/>
    </w:rPr>
  </w:style>
  <w:style w:type="character" w:styleId="EndnoteReference">
    <w:name w:val="endnote reference"/>
    <w:basedOn w:val="DefaultParagraphFont"/>
    <w:uiPriority w:val="99"/>
    <w:semiHidden/>
    <w:unhideWhenUsed/>
    <w:rsid w:val="003348FA"/>
    <w:rPr>
      <w:vertAlign w:val="superscript"/>
    </w:rPr>
  </w:style>
  <w:style w:type="table" w:customStyle="1" w:styleId="LightShading1">
    <w:name w:val="Light Shading1"/>
    <w:basedOn w:val="TableNormal"/>
    <w:uiPriority w:val="60"/>
    <w:rsid w:val="0059017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403156"/>
    <w:pPr>
      <w:spacing w:after="0" w:line="240" w:lineRule="auto"/>
    </w:pPr>
    <w:rPr>
      <w:color w:val="7597A5" w:themeColor="accent3" w:themeShade="BF"/>
    </w:rPr>
    <w:tblPr>
      <w:tblStyleRowBandSize w:val="1"/>
      <w:tblStyleColBandSize w:val="1"/>
      <w:tblBorders>
        <w:top w:val="single" w:sz="8" w:space="0" w:color="AFC3CB" w:themeColor="accent3"/>
        <w:bottom w:val="single" w:sz="8" w:space="0" w:color="AFC3CB" w:themeColor="accent3"/>
      </w:tblBorders>
    </w:tblPr>
    <w:tblStylePr w:type="firstRow">
      <w:pPr>
        <w:spacing w:before="0" w:after="0" w:line="240" w:lineRule="auto"/>
      </w:pPr>
      <w:rPr>
        <w:b/>
        <w:bCs/>
      </w:rPr>
      <w:tblPr/>
      <w:tcPr>
        <w:tcBorders>
          <w:top w:val="single" w:sz="8" w:space="0" w:color="AFC3CB" w:themeColor="accent3"/>
          <w:left w:val="nil"/>
          <w:bottom w:val="single" w:sz="8" w:space="0" w:color="AFC3CB" w:themeColor="accent3"/>
          <w:right w:val="nil"/>
          <w:insideH w:val="nil"/>
          <w:insideV w:val="nil"/>
        </w:tcBorders>
      </w:tcPr>
    </w:tblStylePr>
    <w:tblStylePr w:type="lastRow">
      <w:pPr>
        <w:spacing w:before="0" w:after="0" w:line="240" w:lineRule="auto"/>
      </w:pPr>
      <w:rPr>
        <w:b/>
        <w:bCs/>
      </w:rPr>
      <w:tblPr/>
      <w:tcPr>
        <w:tcBorders>
          <w:top w:val="single" w:sz="8" w:space="0" w:color="AFC3CB" w:themeColor="accent3"/>
          <w:left w:val="nil"/>
          <w:bottom w:val="single" w:sz="8" w:space="0" w:color="AFC3C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F2" w:themeFill="accent3" w:themeFillTint="3F"/>
      </w:tcPr>
    </w:tblStylePr>
    <w:tblStylePr w:type="band1Horz">
      <w:tblPr/>
      <w:tcPr>
        <w:tcBorders>
          <w:left w:val="nil"/>
          <w:right w:val="nil"/>
          <w:insideH w:val="nil"/>
          <w:insideV w:val="nil"/>
        </w:tcBorders>
        <w:shd w:val="clear" w:color="auto" w:fill="EBF0F2" w:themeFill="accent3" w:themeFillTint="3F"/>
      </w:tcPr>
    </w:tblStylePr>
  </w:style>
  <w:style w:type="character" w:customStyle="1" w:styleId="Heading8Char">
    <w:name w:val="Heading 8 Char"/>
    <w:basedOn w:val="DefaultParagraphFont"/>
    <w:link w:val="Heading8"/>
    <w:uiPriority w:val="9"/>
    <w:rsid w:val="00F20D53"/>
    <w:rPr>
      <w:rFonts w:ascii="Cambria" w:eastAsiaTheme="majorEastAsia" w:hAnsi="Cambr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20D53"/>
    <w:rPr>
      <w:rFonts w:ascii="Cambria" w:eastAsiaTheme="majorEastAsia" w:hAnsi="Cambria" w:cstheme="majorBidi"/>
      <w:i/>
      <w:iCs/>
      <w:color w:val="404040" w:themeColor="text1" w:themeTint="BF"/>
      <w:sz w:val="20"/>
      <w:szCs w:val="20"/>
    </w:rPr>
  </w:style>
  <w:style w:type="character" w:styleId="SubtleEmphasis">
    <w:name w:val="Subtle Emphasis"/>
    <w:basedOn w:val="DefaultParagraphFont"/>
    <w:uiPriority w:val="19"/>
    <w:qFormat/>
    <w:rsid w:val="00F20D53"/>
    <w:rPr>
      <w:i/>
      <w:iCs/>
      <w:color w:val="808080" w:themeColor="text1" w:themeTint="7F"/>
    </w:rPr>
  </w:style>
  <w:style w:type="character" w:styleId="Emphasis">
    <w:name w:val="Emphasis"/>
    <w:basedOn w:val="DefaultParagraphFont"/>
    <w:uiPriority w:val="20"/>
    <w:qFormat/>
    <w:rsid w:val="00F20D53"/>
    <w:rPr>
      <w:i/>
      <w:iCs/>
    </w:rPr>
  </w:style>
  <w:style w:type="character" w:styleId="Strong">
    <w:name w:val="Strong"/>
    <w:basedOn w:val="DefaultParagraphFont"/>
    <w:uiPriority w:val="22"/>
    <w:qFormat/>
    <w:rsid w:val="00F20D53"/>
    <w:rPr>
      <w:b/>
      <w:bCs/>
    </w:rPr>
  </w:style>
  <w:style w:type="paragraph" w:styleId="Quote">
    <w:name w:val="Quote"/>
    <w:basedOn w:val="Normal"/>
    <w:next w:val="Normal"/>
    <w:link w:val="QuoteChar"/>
    <w:uiPriority w:val="29"/>
    <w:qFormat/>
    <w:rsid w:val="00F20D53"/>
    <w:rPr>
      <w:i/>
      <w:iCs/>
      <w:color w:val="000000" w:themeColor="text1"/>
    </w:rPr>
  </w:style>
  <w:style w:type="character" w:customStyle="1" w:styleId="QuoteChar">
    <w:name w:val="Quote Char"/>
    <w:basedOn w:val="DefaultParagraphFont"/>
    <w:link w:val="Quote"/>
    <w:uiPriority w:val="29"/>
    <w:rsid w:val="00F20D53"/>
    <w:rPr>
      <w:rFonts w:ascii="Cambria" w:hAnsi="Cambria"/>
      <w:i/>
      <w:iCs/>
      <w:color w:val="000000" w:themeColor="text1"/>
      <w:sz w:val="24"/>
    </w:rPr>
  </w:style>
  <w:style w:type="character" w:styleId="BookTitle">
    <w:name w:val="Book Title"/>
    <w:basedOn w:val="DefaultParagraphFont"/>
    <w:uiPriority w:val="33"/>
    <w:qFormat/>
    <w:rsid w:val="00F20D53"/>
    <w:rPr>
      <w:b/>
      <w:bCs/>
      <w:smallCaps/>
      <w:spacing w:val="5"/>
    </w:rPr>
  </w:style>
  <w:style w:type="table" w:customStyle="1" w:styleId="LightShading-Accent11">
    <w:name w:val="Light Shading - Accent 11"/>
    <w:basedOn w:val="TableNormal"/>
    <w:uiPriority w:val="60"/>
    <w:rsid w:val="008A2BFC"/>
    <w:pPr>
      <w:spacing w:after="0" w:line="240" w:lineRule="auto"/>
    </w:pPr>
    <w:rPr>
      <w:color w:val="FBA925" w:themeColor="accent1" w:themeShade="BF"/>
    </w:rPr>
    <w:tblPr>
      <w:tblStyleRowBandSize w:val="1"/>
      <w:tblStyleColBandSize w:val="1"/>
      <w:tblBorders>
        <w:top w:val="single" w:sz="8" w:space="0" w:color="FDCF85" w:themeColor="accent1"/>
        <w:bottom w:val="single" w:sz="8" w:space="0" w:color="FDCF85" w:themeColor="accent1"/>
      </w:tblBorders>
    </w:tblPr>
    <w:tblStylePr w:type="firstRow">
      <w:pPr>
        <w:spacing w:before="0" w:after="0" w:line="240" w:lineRule="auto"/>
      </w:pPr>
      <w:rPr>
        <w:b/>
        <w:bCs/>
      </w:rPr>
      <w:tblPr/>
      <w:tcPr>
        <w:tcBorders>
          <w:top w:val="single" w:sz="8" w:space="0" w:color="FDCF85" w:themeColor="accent1"/>
          <w:left w:val="nil"/>
          <w:bottom w:val="single" w:sz="8" w:space="0" w:color="FDCF85" w:themeColor="accent1"/>
          <w:right w:val="nil"/>
          <w:insideH w:val="nil"/>
          <w:insideV w:val="nil"/>
        </w:tcBorders>
      </w:tcPr>
    </w:tblStylePr>
    <w:tblStylePr w:type="lastRow">
      <w:pPr>
        <w:spacing w:before="0" w:after="0" w:line="240" w:lineRule="auto"/>
      </w:pPr>
      <w:rPr>
        <w:b/>
        <w:bCs/>
      </w:rPr>
      <w:tblPr/>
      <w:tcPr>
        <w:tcBorders>
          <w:top w:val="single" w:sz="8" w:space="0" w:color="FDCF85" w:themeColor="accent1"/>
          <w:left w:val="nil"/>
          <w:bottom w:val="single" w:sz="8" w:space="0" w:color="FDCF8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3E0" w:themeFill="accent1" w:themeFillTint="3F"/>
      </w:tcPr>
    </w:tblStylePr>
    <w:tblStylePr w:type="band1Horz">
      <w:tblPr/>
      <w:tcPr>
        <w:tcBorders>
          <w:left w:val="nil"/>
          <w:right w:val="nil"/>
          <w:insideH w:val="nil"/>
          <w:insideV w:val="nil"/>
        </w:tcBorders>
        <w:shd w:val="clear" w:color="auto" w:fill="FEF3E0" w:themeFill="accent1" w:themeFillTint="3F"/>
      </w:tcPr>
    </w:tblStylePr>
  </w:style>
  <w:style w:type="table" w:styleId="LightShading-Accent2">
    <w:name w:val="Light Shading Accent 2"/>
    <w:basedOn w:val="TableNormal"/>
    <w:uiPriority w:val="60"/>
    <w:rsid w:val="00FE755D"/>
    <w:pPr>
      <w:spacing w:after="0" w:line="240" w:lineRule="auto"/>
    </w:pPr>
    <w:rPr>
      <w:color w:val="D98B05" w:themeColor="accent2" w:themeShade="BF"/>
    </w:rPr>
    <w:tblPr>
      <w:tblStyleRowBandSize w:val="1"/>
      <w:tblStyleColBandSize w:val="1"/>
      <w:tblBorders>
        <w:top w:val="single" w:sz="8" w:space="0" w:color="FAB02F" w:themeColor="accent2"/>
        <w:bottom w:val="single" w:sz="8" w:space="0" w:color="FAB02F" w:themeColor="accent2"/>
      </w:tblBorders>
    </w:tblPr>
    <w:tblStylePr w:type="firstRow">
      <w:pPr>
        <w:spacing w:before="0" w:after="0" w:line="240" w:lineRule="auto"/>
      </w:pPr>
      <w:rPr>
        <w:b/>
        <w:bCs/>
      </w:rPr>
      <w:tblPr/>
      <w:tcPr>
        <w:tcBorders>
          <w:top w:val="single" w:sz="8" w:space="0" w:color="FAB02F" w:themeColor="accent2"/>
          <w:left w:val="nil"/>
          <w:bottom w:val="single" w:sz="8" w:space="0" w:color="FAB02F" w:themeColor="accent2"/>
          <w:right w:val="nil"/>
          <w:insideH w:val="nil"/>
          <w:insideV w:val="nil"/>
        </w:tcBorders>
      </w:tcPr>
    </w:tblStylePr>
    <w:tblStylePr w:type="lastRow">
      <w:pPr>
        <w:spacing w:before="0" w:after="0" w:line="240" w:lineRule="auto"/>
      </w:pPr>
      <w:rPr>
        <w:b/>
        <w:bCs/>
      </w:rPr>
      <w:tblPr/>
      <w:tcPr>
        <w:tcBorders>
          <w:top w:val="single" w:sz="8" w:space="0" w:color="FAB02F" w:themeColor="accent2"/>
          <w:left w:val="nil"/>
          <w:bottom w:val="single" w:sz="8" w:space="0" w:color="FAB02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BCB" w:themeFill="accent2" w:themeFillTint="3F"/>
      </w:tcPr>
    </w:tblStylePr>
    <w:tblStylePr w:type="band1Horz">
      <w:tblPr/>
      <w:tcPr>
        <w:tcBorders>
          <w:left w:val="nil"/>
          <w:right w:val="nil"/>
          <w:insideH w:val="nil"/>
          <w:insideV w:val="nil"/>
        </w:tcBorders>
        <w:shd w:val="clear" w:color="auto" w:fill="FDEBCB" w:themeFill="accent2" w:themeFillTint="3F"/>
      </w:tcPr>
    </w:tblStylePr>
  </w:style>
  <w:style w:type="table" w:styleId="LightShading-Accent4">
    <w:name w:val="Light Shading Accent 4"/>
    <w:basedOn w:val="TableNormal"/>
    <w:uiPriority w:val="60"/>
    <w:rsid w:val="00FE755D"/>
    <w:pPr>
      <w:spacing w:after="0" w:line="240" w:lineRule="auto"/>
    </w:pPr>
    <w:rPr>
      <w:color w:val="244C56" w:themeColor="accent4" w:themeShade="BF"/>
    </w:rPr>
    <w:tblPr>
      <w:tblStyleRowBandSize w:val="1"/>
      <w:tblStyleColBandSize w:val="1"/>
      <w:tblBorders>
        <w:top w:val="single" w:sz="8" w:space="0" w:color="306673" w:themeColor="accent4"/>
        <w:bottom w:val="single" w:sz="8" w:space="0" w:color="306673" w:themeColor="accent4"/>
      </w:tblBorders>
    </w:tblPr>
    <w:tblStylePr w:type="firstRow">
      <w:pPr>
        <w:spacing w:before="0" w:after="0" w:line="240" w:lineRule="auto"/>
      </w:pPr>
      <w:rPr>
        <w:b/>
        <w:bCs/>
      </w:rPr>
      <w:tblPr/>
      <w:tcPr>
        <w:tcBorders>
          <w:top w:val="single" w:sz="8" w:space="0" w:color="306673" w:themeColor="accent4"/>
          <w:left w:val="nil"/>
          <w:bottom w:val="single" w:sz="8" w:space="0" w:color="306673" w:themeColor="accent4"/>
          <w:right w:val="nil"/>
          <w:insideH w:val="nil"/>
          <w:insideV w:val="nil"/>
        </w:tcBorders>
      </w:tcPr>
    </w:tblStylePr>
    <w:tblStylePr w:type="lastRow">
      <w:pPr>
        <w:spacing w:before="0" w:after="0" w:line="240" w:lineRule="auto"/>
      </w:pPr>
      <w:rPr>
        <w:b/>
        <w:bCs/>
      </w:rPr>
      <w:tblPr/>
      <w:tcPr>
        <w:tcBorders>
          <w:top w:val="single" w:sz="8" w:space="0" w:color="306673" w:themeColor="accent4"/>
          <w:left w:val="nil"/>
          <w:bottom w:val="single" w:sz="8" w:space="0" w:color="30667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EE5" w:themeFill="accent4" w:themeFillTint="3F"/>
      </w:tcPr>
    </w:tblStylePr>
    <w:tblStylePr w:type="band1Horz">
      <w:tblPr/>
      <w:tcPr>
        <w:tcBorders>
          <w:left w:val="nil"/>
          <w:right w:val="nil"/>
          <w:insideH w:val="nil"/>
          <w:insideV w:val="nil"/>
        </w:tcBorders>
        <w:shd w:val="clear" w:color="auto" w:fill="C2DEE5" w:themeFill="accent4" w:themeFillTint="3F"/>
      </w:tcPr>
    </w:tblStylePr>
  </w:style>
  <w:style w:type="table" w:styleId="LightShading-Accent5">
    <w:name w:val="Light Shading Accent 5"/>
    <w:basedOn w:val="TableNormal"/>
    <w:uiPriority w:val="60"/>
    <w:rsid w:val="00FE755D"/>
    <w:pPr>
      <w:spacing w:after="0" w:line="240" w:lineRule="auto"/>
    </w:pPr>
    <w:rPr>
      <w:color w:val="013138" w:themeColor="accent5" w:themeShade="BF"/>
    </w:rPr>
    <w:tblPr>
      <w:tblStyleRowBandSize w:val="1"/>
      <w:tblStyleColBandSize w:val="1"/>
      <w:tblBorders>
        <w:top w:val="single" w:sz="8" w:space="0" w:color="02424C" w:themeColor="accent5"/>
        <w:bottom w:val="single" w:sz="8" w:space="0" w:color="02424C" w:themeColor="accent5"/>
      </w:tblBorders>
    </w:tblPr>
    <w:tblStylePr w:type="firstRow">
      <w:pPr>
        <w:spacing w:before="0" w:after="0" w:line="240" w:lineRule="auto"/>
      </w:pPr>
      <w:rPr>
        <w:b/>
        <w:bCs/>
      </w:rPr>
      <w:tblPr/>
      <w:tcPr>
        <w:tcBorders>
          <w:top w:val="single" w:sz="8" w:space="0" w:color="02424C" w:themeColor="accent5"/>
          <w:left w:val="nil"/>
          <w:bottom w:val="single" w:sz="8" w:space="0" w:color="02424C" w:themeColor="accent5"/>
          <w:right w:val="nil"/>
          <w:insideH w:val="nil"/>
          <w:insideV w:val="nil"/>
        </w:tcBorders>
      </w:tcPr>
    </w:tblStylePr>
    <w:tblStylePr w:type="lastRow">
      <w:pPr>
        <w:spacing w:before="0" w:after="0" w:line="240" w:lineRule="auto"/>
      </w:pPr>
      <w:rPr>
        <w:b/>
        <w:bCs/>
      </w:rPr>
      <w:tblPr/>
      <w:tcPr>
        <w:tcBorders>
          <w:top w:val="single" w:sz="8" w:space="0" w:color="02424C" w:themeColor="accent5"/>
          <w:left w:val="nil"/>
          <w:bottom w:val="single" w:sz="8" w:space="0" w:color="0242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EEFC" w:themeFill="accent5" w:themeFillTint="3F"/>
      </w:tcPr>
    </w:tblStylePr>
    <w:tblStylePr w:type="band1Horz">
      <w:tblPr/>
      <w:tcPr>
        <w:tcBorders>
          <w:left w:val="nil"/>
          <w:right w:val="nil"/>
          <w:insideH w:val="nil"/>
          <w:insideV w:val="nil"/>
        </w:tcBorders>
        <w:shd w:val="clear" w:color="auto" w:fill="96EEFC" w:themeFill="accent5" w:themeFillTint="3F"/>
      </w:tcPr>
    </w:tblStylePr>
  </w:style>
  <w:style w:type="table" w:styleId="LightShading-Accent6">
    <w:name w:val="Light Shading Accent 6"/>
    <w:basedOn w:val="TableNormal"/>
    <w:uiPriority w:val="60"/>
    <w:rsid w:val="00FE755D"/>
    <w:pPr>
      <w:spacing w:after="0" w:line="240" w:lineRule="auto"/>
    </w:pPr>
    <w:rPr>
      <w:color w:val="FCB54D" w:themeColor="accent6" w:themeShade="BF"/>
    </w:rPr>
    <w:tblPr>
      <w:tblStyleRowBandSize w:val="1"/>
      <w:tblStyleColBandSize w:val="1"/>
      <w:tblBorders>
        <w:top w:val="single" w:sz="8" w:space="0" w:color="FEE3BB" w:themeColor="accent6"/>
        <w:bottom w:val="single" w:sz="8" w:space="0" w:color="FEE3BB" w:themeColor="accent6"/>
      </w:tblBorders>
    </w:tblPr>
    <w:tblStylePr w:type="firstRow">
      <w:pPr>
        <w:spacing w:before="0" w:after="0" w:line="240" w:lineRule="auto"/>
      </w:pPr>
      <w:rPr>
        <w:b/>
        <w:bCs/>
      </w:rPr>
      <w:tblPr/>
      <w:tcPr>
        <w:tcBorders>
          <w:top w:val="single" w:sz="8" w:space="0" w:color="FEE3BB" w:themeColor="accent6"/>
          <w:left w:val="nil"/>
          <w:bottom w:val="single" w:sz="8" w:space="0" w:color="FEE3BB" w:themeColor="accent6"/>
          <w:right w:val="nil"/>
          <w:insideH w:val="nil"/>
          <w:insideV w:val="nil"/>
        </w:tcBorders>
      </w:tcPr>
    </w:tblStylePr>
    <w:tblStylePr w:type="lastRow">
      <w:pPr>
        <w:spacing w:before="0" w:after="0" w:line="240" w:lineRule="auto"/>
      </w:pPr>
      <w:rPr>
        <w:b/>
        <w:bCs/>
      </w:rPr>
      <w:tblPr/>
      <w:tcPr>
        <w:tcBorders>
          <w:top w:val="single" w:sz="8" w:space="0" w:color="FEE3BB" w:themeColor="accent6"/>
          <w:left w:val="nil"/>
          <w:bottom w:val="single" w:sz="8" w:space="0" w:color="FEE3B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7ED" w:themeFill="accent6" w:themeFillTint="3F"/>
      </w:tcPr>
    </w:tblStylePr>
    <w:tblStylePr w:type="band1Horz">
      <w:tblPr/>
      <w:tcPr>
        <w:tcBorders>
          <w:left w:val="nil"/>
          <w:right w:val="nil"/>
          <w:insideH w:val="nil"/>
          <w:insideV w:val="nil"/>
        </w:tcBorders>
        <w:shd w:val="clear" w:color="auto" w:fill="FEF7ED" w:themeFill="accent6" w:themeFillTint="3F"/>
      </w:tcPr>
    </w:tblStylePr>
  </w:style>
  <w:style w:type="table" w:customStyle="1" w:styleId="LightList1">
    <w:name w:val="Light List1"/>
    <w:basedOn w:val="TableNormal"/>
    <w:uiPriority w:val="61"/>
    <w:rsid w:val="00FE755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FE755D"/>
    <w:pPr>
      <w:spacing w:after="0" w:line="240" w:lineRule="auto"/>
    </w:pPr>
    <w:tblPr>
      <w:tblStyleRowBandSize w:val="1"/>
      <w:tblStyleColBandSize w:val="1"/>
      <w:tblBorders>
        <w:top w:val="single" w:sz="8" w:space="0" w:color="FDCF85" w:themeColor="accent1"/>
        <w:left w:val="single" w:sz="8" w:space="0" w:color="FDCF85" w:themeColor="accent1"/>
        <w:bottom w:val="single" w:sz="8" w:space="0" w:color="FDCF85" w:themeColor="accent1"/>
        <w:right w:val="single" w:sz="8" w:space="0" w:color="FDCF85" w:themeColor="accent1"/>
      </w:tblBorders>
    </w:tblPr>
    <w:tblStylePr w:type="firstRow">
      <w:pPr>
        <w:spacing w:before="0" w:after="0" w:line="240" w:lineRule="auto"/>
      </w:pPr>
      <w:rPr>
        <w:b/>
        <w:bCs/>
        <w:color w:val="FFFFFF" w:themeColor="background1"/>
      </w:rPr>
      <w:tblPr/>
      <w:tcPr>
        <w:shd w:val="clear" w:color="auto" w:fill="FDCF85" w:themeFill="accent1"/>
      </w:tcPr>
    </w:tblStylePr>
    <w:tblStylePr w:type="lastRow">
      <w:pPr>
        <w:spacing w:before="0" w:after="0" w:line="240" w:lineRule="auto"/>
      </w:pPr>
      <w:rPr>
        <w:b/>
        <w:bCs/>
      </w:rPr>
      <w:tblPr/>
      <w:tcPr>
        <w:tcBorders>
          <w:top w:val="double" w:sz="6" w:space="0" w:color="FDCF85" w:themeColor="accent1"/>
          <w:left w:val="single" w:sz="8" w:space="0" w:color="FDCF85" w:themeColor="accent1"/>
          <w:bottom w:val="single" w:sz="8" w:space="0" w:color="FDCF85" w:themeColor="accent1"/>
          <w:right w:val="single" w:sz="8" w:space="0" w:color="FDCF85" w:themeColor="accent1"/>
        </w:tcBorders>
      </w:tcPr>
    </w:tblStylePr>
    <w:tblStylePr w:type="firstCol">
      <w:rPr>
        <w:b/>
        <w:bCs/>
      </w:rPr>
    </w:tblStylePr>
    <w:tblStylePr w:type="lastCol">
      <w:rPr>
        <w:b/>
        <w:bCs/>
      </w:rPr>
    </w:tblStylePr>
    <w:tblStylePr w:type="band1Vert">
      <w:tblPr/>
      <w:tcPr>
        <w:tcBorders>
          <w:top w:val="single" w:sz="8" w:space="0" w:color="FDCF85" w:themeColor="accent1"/>
          <w:left w:val="single" w:sz="8" w:space="0" w:color="FDCF85" w:themeColor="accent1"/>
          <w:bottom w:val="single" w:sz="8" w:space="0" w:color="FDCF85" w:themeColor="accent1"/>
          <w:right w:val="single" w:sz="8" w:space="0" w:color="FDCF85" w:themeColor="accent1"/>
        </w:tcBorders>
      </w:tcPr>
    </w:tblStylePr>
    <w:tblStylePr w:type="band1Horz">
      <w:tblPr/>
      <w:tcPr>
        <w:tcBorders>
          <w:top w:val="single" w:sz="8" w:space="0" w:color="FDCF85" w:themeColor="accent1"/>
          <w:left w:val="single" w:sz="8" w:space="0" w:color="FDCF85" w:themeColor="accent1"/>
          <w:bottom w:val="single" w:sz="8" w:space="0" w:color="FDCF85" w:themeColor="accent1"/>
          <w:right w:val="single" w:sz="8" w:space="0" w:color="FDCF85" w:themeColor="accent1"/>
        </w:tcBorders>
      </w:tcPr>
    </w:tblStylePr>
  </w:style>
  <w:style w:type="table" w:styleId="LightList-Accent2">
    <w:name w:val="Light List Accent 2"/>
    <w:basedOn w:val="TableNormal"/>
    <w:uiPriority w:val="61"/>
    <w:rsid w:val="00FE755D"/>
    <w:pPr>
      <w:spacing w:after="0" w:line="240" w:lineRule="auto"/>
    </w:pPr>
    <w:tblPr>
      <w:tblStyleRowBandSize w:val="1"/>
      <w:tblStyleColBandSize w:val="1"/>
      <w:tblBorders>
        <w:top w:val="single" w:sz="8" w:space="0" w:color="FAB02F" w:themeColor="accent2"/>
        <w:left w:val="single" w:sz="8" w:space="0" w:color="FAB02F" w:themeColor="accent2"/>
        <w:bottom w:val="single" w:sz="8" w:space="0" w:color="FAB02F" w:themeColor="accent2"/>
        <w:right w:val="single" w:sz="8" w:space="0" w:color="FAB02F" w:themeColor="accent2"/>
      </w:tblBorders>
    </w:tblPr>
    <w:tblStylePr w:type="firstRow">
      <w:pPr>
        <w:spacing w:before="0" w:after="0" w:line="240" w:lineRule="auto"/>
      </w:pPr>
      <w:rPr>
        <w:b/>
        <w:bCs/>
        <w:color w:val="FFFFFF" w:themeColor="background1"/>
      </w:rPr>
      <w:tblPr/>
      <w:tcPr>
        <w:shd w:val="clear" w:color="auto" w:fill="FAB02F" w:themeFill="accent2"/>
      </w:tcPr>
    </w:tblStylePr>
    <w:tblStylePr w:type="lastRow">
      <w:pPr>
        <w:spacing w:before="0" w:after="0" w:line="240" w:lineRule="auto"/>
      </w:pPr>
      <w:rPr>
        <w:b/>
        <w:bCs/>
      </w:rPr>
      <w:tblPr/>
      <w:tcPr>
        <w:tcBorders>
          <w:top w:val="double" w:sz="6" w:space="0" w:color="FAB02F" w:themeColor="accent2"/>
          <w:left w:val="single" w:sz="8" w:space="0" w:color="FAB02F" w:themeColor="accent2"/>
          <w:bottom w:val="single" w:sz="8" w:space="0" w:color="FAB02F" w:themeColor="accent2"/>
          <w:right w:val="single" w:sz="8" w:space="0" w:color="FAB02F" w:themeColor="accent2"/>
        </w:tcBorders>
      </w:tcPr>
    </w:tblStylePr>
    <w:tblStylePr w:type="firstCol">
      <w:rPr>
        <w:b/>
        <w:bCs/>
      </w:rPr>
    </w:tblStylePr>
    <w:tblStylePr w:type="lastCol">
      <w:rPr>
        <w:b/>
        <w:bCs/>
      </w:rPr>
    </w:tblStylePr>
    <w:tblStylePr w:type="band1Vert">
      <w:tblPr/>
      <w:tcPr>
        <w:tcBorders>
          <w:top w:val="single" w:sz="8" w:space="0" w:color="FAB02F" w:themeColor="accent2"/>
          <w:left w:val="single" w:sz="8" w:space="0" w:color="FAB02F" w:themeColor="accent2"/>
          <w:bottom w:val="single" w:sz="8" w:space="0" w:color="FAB02F" w:themeColor="accent2"/>
          <w:right w:val="single" w:sz="8" w:space="0" w:color="FAB02F" w:themeColor="accent2"/>
        </w:tcBorders>
      </w:tcPr>
    </w:tblStylePr>
    <w:tblStylePr w:type="band1Horz">
      <w:tblPr/>
      <w:tcPr>
        <w:tcBorders>
          <w:top w:val="single" w:sz="8" w:space="0" w:color="FAB02F" w:themeColor="accent2"/>
          <w:left w:val="single" w:sz="8" w:space="0" w:color="FAB02F" w:themeColor="accent2"/>
          <w:bottom w:val="single" w:sz="8" w:space="0" w:color="FAB02F" w:themeColor="accent2"/>
          <w:right w:val="single" w:sz="8" w:space="0" w:color="FAB02F" w:themeColor="accent2"/>
        </w:tcBorders>
      </w:tcPr>
    </w:tblStylePr>
  </w:style>
  <w:style w:type="table" w:styleId="LightList-Accent3">
    <w:name w:val="Light List Accent 3"/>
    <w:basedOn w:val="TableNormal"/>
    <w:uiPriority w:val="61"/>
    <w:rsid w:val="00FE755D"/>
    <w:pPr>
      <w:spacing w:after="0" w:line="240" w:lineRule="auto"/>
    </w:pPr>
    <w:tblPr>
      <w:tblStyleRowBandSize w:val="1"/>
      <w:tblStyleColBandSize w:val="1"/>
      <w:tblBorders>
        <w:top w:val="single" w:sz="8" w:space="0" w:color="AFC3CB" w:themeColor="accent3"/>
        <w:left w:val="single" w:sz="8" w:space="0" w:color="AFC3CB" w:themeColor="accent3"/>
        <w:bottom w:val="single" w:sz="8" w:space="0" w:color="AFC3CB" w:themeColor="accent3"/>
        <w:right w:val="single" w:sz="8" w:space="0" w:color="AFC3CB" w:themeColor="accent3"/>
      </w:tblBorders>
    </w:tblPr>
    <w:tblStylePr w:type="firstRow">
      <w:pPr>
        <w:spacing w:before="0" w:after="0" w:line="240" w:lineRule="auto"/>
      </w:pPr>
      <w:rPr>
        <w:b/>
        <w:bCs/>
        <w:color w:val="FFFFFF" w:themeColor="background1"/>
      </w:rPr>
      <w:tblPr/>
      <w:tcPr>
        <w:shd w:val="clear" w:color="auto" w:fill="AFC3CB" w:themeFill="accent3"/>
      </w:tcPr>
    </w:tblStylePr>
    <w:tblStylePr w:type="lastRow">
      <w:pPr>
        <w:spacing w:before="0" w:after="0" w:line="240" w:lineRule="auto"/>
      </w:pPr>
      <w:rPr>
        <w:b/>
        <w:bCs/>
      </w:rPr>
      <w:tblPr/>
      <w:tcPr>
        <w:tcBorders>
          <w:top w:val="double" w:sz="6" w:space="0" w:color="AFC3CB" w:themeColor="accent3"/>
          <w:left w:val="single" w:sz="8" w:space="0" w:color="AFC3CB" w:themeColor="accent3"/>
          <w:bottom w:val="single" w:sz="8" w:space="0" w:color="AFC3CB" w:themeColor="accent3"/>
          <w:right w:val="single" w:sz="8" w:space="0" w:color="AFC3CB" w:themeColor="accent3"/>
        </w:tcBorders>
      </w:tcPr>
    </w:tblStylePr>
    <w:tblStylePr w:type="firstCol">
      <w:rPr>
        <w:b/>
        <w:bCs/>
      </w:rPr>
    </w:tblStylePr>
    <w:tblStylePr w:type="lastCol">
      <w:rPr>
        <w:b/>
        <w:bCs/>
      </w:rPr>
    </w:tblStylePr>
    <w:tblStylePr w:type="band1Vert">
      <w:tblPr/>
      <w:tcPr>
        <w:tcBorders>
          <w:top w:val="single" w:sz="8" w:space="0" w:color="AFC3CB" w:themeColor="accent3"/>
          <w:left w:val="single" w:sz="8" w:space="0" w:color="AFC3CB" w:themeColor="accent3"/>
          <w:bottom w:val="single" w:sz="8" w:space="0" w:color="AFC3CB" w:themeColor="accent3"/>
          <w:right w:val="single" w:sz="8" w:space="0" w:color="AFC3CB" w:themeColor="accent3"/>
        </w:tcBorders>
      </w:tcPr>
    </w:tblStylePr>
    <w:tblStylePr w:type="band1Horz">
      <w:tblPr/>
      <w:tcPr>
        <w:tcBorders>
          <w:top w:val="single" w:sz="8" w:space="0" w:color="AFC3CB" w:themeColor="accent3"/>
          <w:left w:val="single" w:sz="8" w:space="0" w:color="AFC3CB" w:themeColor="accent3"/>
          <w:bottom w:val="single" w:sz="8" w:space="0" w:color="AFC3CB" w:themeColor="accent3"/>
          <w:right w:val="single" w:sz="8" w:space="0" w:color="AFC3CB" w:themeColor="accent3"/>
        </w:tcBorders>
      </w:tcPr>
    </w:tblStylePr>
  </w:style>
  <w:style w:type="table" w:styleId="LightGrid-Accent3">
    <w:name w:val="Light Grid Accent 3"/>
    <w:basedOn w:val="TableNormal"/>
    <w:uiPriority w:val="62"/>
    <w:rsid w:val="00FE755D"/>
    <w:pPr>
      <w:spacing w:after="0" w:line="240" w:lineRule="auto"/>
    </w:pPr>
    <w:tblPr>
      <w:tblStyleRowBandSize w:val="1"/>
      <w:tblStyleColBandSize w:val="1"/>
      <w:tblBorders>
        <w:top w:val="single" w:sz="8" w:space="0" w:color="AFC3CB" w:themeColor="accent3"/>
        <w:left w:val="single" w:sz="8" w:space="0" w:color="AFC3CB" w:themeColor="accent3"/>
        <w:bottom w:val="single" w:sz="8" w:space="0" w:color="AFC3CB" w:themeColor="accent3"/>
        <w:right w:val="single" w:sz="8" w:space="0" w:color="AFC3CB" w:themeColor="accent3"/>
        <w:insideH w:val="single" w:sz="8" w:space="0" w:color="AFC3CB" w:themeColor="accent3"/>
        <w:insideV w:val="single" w:sz="8" w:space="0" w:color="AFC3C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C3CB" w:themeColor="accent3"/>
          <w:left w:val="single" w:sz="8" w:space="0" w:color="AFC3CB" w:themeColor="accent3"/>
          <w:bottom w:val="single" w:sz="18" w:space="0" w:color="AFC3CB" w:themeColor="accent3"/>
          <w:right w:val="single" w:sz="8" w:space="0" w:color="AFC3CB" w:themeColor="accent3"/>
          <w:insideH w:val="nil"/>
          <w:insideV w:val="single" w:sz="8" w:space="0" w:color="AFC3C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C3CB" w:themeColor="accent3"/>
          <w:left w:val="single" w:sz="8" w:space="0" w:color="AFC3CB" w:themeColor="accent3"/>
          <w:bottom w:val="single" w:sz="8" w:space="0" w:color="AFC3CB" w:themeColor="accent3"/>
          <w:right w:val="single" w:sz="8" w:space="0" w:color="AFC3CB" w:themeColor="accent3"/>
          <w:insideH w:val="nil"/>
          <w:insideV w:val="single" w:sz="8" w:space="0" w:color="AFC3C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C3CB" w:themeColor="accent3"/>
          <w:left w:val="single" w:sz="8" w:space="0" w:color="AFC3CB" w:themeColor="accent3"/>
          <w:bottom w:val="single" w:sz="8" w:space="0" w:color="AFC3CB" w:themeColor="accent3"/>
          <w:right w:val="single" w:sz="8" w:space="0" w:color="AFC3CB" w:themeColor="accent3"/>
        </w:tcBorders>
      </w:tcPr>
    </w:tblStylePr>
    <w:tblStylePr w:type="band1Vert">
      <w:tblPr/>
      <w:tcPr>
        <w:tcBorders>
          <w:top w:val="single" w:sz="8" w:space="0" w:color="AFC3CB" w:themeColor="accent3"/>
          <w:left w:val="single" w:sz="8" w:space="0" w:color="AFC3CB" w:themeColor="accent3"/>
          <w:bottom w:val="single" w:sz="8" w:space="0" w:color="AFC3CB" w:themeColor="accent3"/>
          <w:right w:val="single" w:sz="8" w:space="0" w:color="AFC3CB" w:themeColor="accent3"/>
        </w:tcBorders>
        <w:shd w:val="clear" w:color="auto" w:fill="EBF0F2" w:themeFill="accent3" w:themeFillTint="3F"/>
      </w:tcPr>
    </w:tblStylePr>
    <w:tblStylePr w:type="band1Horz">
      <w:tblPr/>
      <w:tcPr>
        <w:tcBorders>
          <w:top w:val="single" w:sz="8" w:space="0" w:color="AFC3CB" w:themeColor="accent3"/>
          <w:left w:val="single" w:sz="8" w:space="0" w:color="AFC3CB" w:themeColor="accent3"/>
          <w:bottom w:val="single" w:sz="8" w:space="0" w:color="AFC3CB" w:themeColor="accent3"/>
          <w:right w:val="single" w:sz="8" w:space="0" w:color="AFC3CB" w:themeColor="accent3"/>
          <w:insideV w:val="single" w:sz="8" w:space="0" w:color="AFC3CB" w:themeColor="accent3"/>
        </w:tcBorders>
        <w:shd w:val="clear" w:color="auto" w:fill="EBF0F2" w:themeFill="accent3" w:themeFillTint="3F"/>
      </w:tcPr>
    </w:tblStylePr>
    <w:tblStylePr w:type="band2Horz">
      <w:tblPr/>
      <w:tcPr>
        <w:tcBorders>
          <w:top w:val="single" w:sz="8" w:space="0" w:color="AFC3CB" w:themeColor="accent3"/>
          <w:left w:val="single" w:sz="8" w:space="0" w:color="AFC3CB" w:themeColor="accent3"/>
          <w:bottom w:val="single" w:sz="8" w:space="0" w:color="AFC3CB" w:themeColor="accent3"/>
          <w:right w:val="single" w:sz="8" w:space="0" w:color="AFC3CB" w:themeColor="accent3"/>
          <w:insideV w:val="single" w:sz="8" w:space="0" w:color="AFC3CB" w:themeColor="accent3"/>
        </w:tcBorders>
      </w:tcPr>
    </w:tblStylePr>
  </w:style>
  <w:style w:type="table" w:styleId="LightGrid-Accent2">
    <w:name w:val="Light Grid Accent 2"/>
    <w:basedOn w:val="TableNormal"/>
    <w:uiPriority w:val="62"/>
    <w:rsid w:val="00FE755D"/>
    <w:pPr>
      <w:spacing w:after="0" w:line="240" w:lineRule="auto"/>
    </w:pPr>
    <w:tblPr>
      <w:tblStyleRowBandSize w:val="1"/>
      <w:tblStyleColBandSize w:val="1"/>
      <w:tblBorders>
        <w:top w:val="single" w:sz="8" w:space="0" w:color="FAB02F" w:themeColor="accent2"/>
        <w:left w:val="single" w:sz="8" w:space="0" w:color="FAB02F" w:themeColor="accent2"/>
        <w:bottom w:val="single" w:sz="8" w:space="0" w:color="FAB02F" w:themeColor="accent2"/>
        <w:right w:val="single" w:sz="8" w:space="0" w:color="FAB02F" w:themeColor="accent2"/>
        <w:insideH w:val="single" w:sz="8" w:space="0" w:color="FAB02F" w:themeColor="accent2"/>
        <w:insideV w:val="single" w:sz="8" w:space="0" w:color="FAB02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B02F" w:themeColor="accent2"/>
          <w:left w:val="single" w:sz="8" w:space="0" w:color="FAB02F" w:themeColor="accent2"/>
          <w:bottom w:val="single" w:sz="18" w:space="0" w:color="FAB02F" w:themeColor="accent2"/>
          <w:right w:val="single" w:sz="8" w:space="0" w:color="FAB02F" w:themeColor="accent2"/>
          <w:insideH w:val="nil"/>
          <w:insideV w:val="single" w:sz="8" w:space="0" w:color="FAB02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B02F" w:themeColor="accent2"/>
          <w:left w:val="single" w:sz="8" w:space="0" w:color="FAB02F" w:themeColor="accent2"/>
          <w:bottom w:val="single" w:sz="8" w:space="0" w:color="FAB02F" w:themeColor="accent2"/>
          <w:right w:val="single" w:sz="8" w:space="0" w:color="FAB02F" w:themeColor="accent2"/>
          <w:insideH w:val="nil"/>
          <w:insideV w:val="single" w:sz="8" w:space="0" w:color="FAB02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B02F" w:themeColor="accent2"/>
          <w:left w:val="single" w:sz="8" w:space="0" w:color="FAB02F" w:themeColor="accent2"/>
          <w:bottom w:val="single" w:sz="8" w:space="0" w:color="FAB02F" w:themeColor="accent2"/>
          <w:right w:val="single" w:sz="8" w:space="0" w:color="FAB02F" w:themeColor="accent2"/>
        </w:tcBorders>
      </w:tcPr>
    </w:tblStylePr>
    <w:tblStylePr w:type="band1Vert">
      <w:tblPr/>
      <w:tcPr>
        <w:tcBorders>
          <w:top w:val="single" w:sz="8" w:space="0" w:color="FAB02F" w:themeColor="accent2"/>
          <w:left w:val="single" w:sz="8" w:space="0" w:color="FAB02F" w:themeColor="accent2"/>
          <w:bottom w:val="single" w:sz="8" w:space="0" w:color="FAB02F" w:themeColor="accent2"/>
          <w:right w:val="single" w:sz="8" w:space="0" w:color="FAB02F" w:themeColor="accent2"/>
        </w:tcBorders>
        <w:shd w:val="clear" w:color="auto" w:fill="FDEBCB" w:themeFill="accent2" w:themeFillTint="3F"/>
      </w:tcPr>
    </w:tblStylePr>
    <w:tblStylePr w:type="band1Horz">
      <w:tblPr/>
      <w:tcPr>
        <w:tcBorders>
          <w:top w:val="single" w:sz="8" w:space="0" w:color="FAB02F" w:themeColor="accent2"/>
          <w:left w:val="single" w:sz="8" w:space="0" w:color="FAB02F" w:themeColor="accent2"/>
          <w:bottom w:val="single" w:sz="8" w:space="0" w:color="FAB02F" w:themeColor="accent2"/>
          <w:right w:val="single" w:sz="8" w:space="0" w:color="FAB02F" w:themeColor="accent2"/>
          <w:insideV w:val="single" w:sz="8" w:space="0" w:color="FAB02F" w:themeColor="accent2"/>
        </w:tcBorders>
        <w:shd w:val="clear" w:color="auto" w:fill="FDEBCB" w:themeFill="accent2" w:themeFillTint="3F"/>
      </w:tcPr>
    </w:tblStylePr>
    <w:tblStylePr w:type="band2Horz">
      <w:tblPr/>
      <w:tcPr>
        <w:tcBorders>
          <w:top w:val="single" w:sz="8" w:space="0" w:color="FAB02F" w:themeColor="accent2"/>
          <w:left w:val="single" w:sz="8" w:space="0" w:color="FAB02F" w:themeColor="accent2"/>
          <w:bottom w:val="single" w:sz="8" w:space="0" w:color="FAB02F" w:themeColor="accent2"/>
          <w:right w:val="single" w:sz="8" w:space="0" w:color="FAB02F" w:themeColor="accent2"/>
          <w:insideV w:val="single" w:sz="8" w:space="0" w:color="FAB02F" w:themeColor="accent2"/>
        </w:tcBorders>
      </w:tcPr>
    </w:tblStylePr>
  </w:style>
  <w:style w:type="table" w:customStyle="1" w:styleId="LightGrid-Accent11">
    <w:name w:val="Light Grid - Accent 11"/>
    <w:basedOn w:val="TableNormal"/>
    <w:uiPriority w:val="62"/>
    <w:rsid w:val="00FE755D"/>
    <w:pPr>
      <w:spacing w:after="0" w:line="240" w:lineRule="auto"/>
    </w:pPr>
    <w:tblPr>
      <w:tblStyleRowBandSize w:val="1"/>
      <w:tblStyleColBandSize w:val="1"/>
      <w:tblBorders>
        <w:top w:val="single" w:sz="8" w:space="0" w:color="FDCF85" w:themeColor="accent1"/>
        <w:left w:val="single" w:sz="8" w:space="0" w:color="FDCF85" w:themeColor="accent1"/>
        <w:bottom w:val="single" w:sz="8" w:space="0" w:color="FDCF85" w:themeColor="accent1"/>
        <w:right w:val="single" w:sz="8" w:space="0" w:color="FDCF85" w:themeColor="accent1"/>
        <w:insideH w:val="single" w:sz="8" w:space="0" w:color="FDCF85" w:themeColor="accent1"/>
        <w:insideV w:val="single" w:sz="8" w:space="0" w:color="FDCF8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CF85" w:themeColor="accent1"/>
          <w:left w:val="single" w:sz="8" w:space="0" w:color="FDCF85" w:themeColor="accent1"/>
          <w:bottom w:val="single" w:sz="18" w:space="0" w:color="FDCF85" w:themeColor="accent1"/>
          <w:right w:val="single" w:sz="8" w:space="0" w:color="FDCF85" w:themeColor="accent1"/>
          <w:insideH w:val="nil"/>
          <w:insideV w:val="single" w:sz="8" w:space="0" w:color="FDCF8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CF85" w:themeColor="accent1"/>
          <w:left w:val="single" w:sz="8" w:space="0" w:color="FDCF85" w:themeColor="accent1"/>
          <w:bottom w:val="single" w:sz="8" w:space="0" w:color="FDCF85" w:themeColor="accent1"/>
          <w:right w:val="single" w:sz="8" w:space="0" w:color="FDCF85" w:themeColor="accent1"/>
          <w:insideH w:val="nil"/>
          <w:insideV w:val="single" w:sz="8" w:space="0" w:color="FDCF8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CF85" w:themeColor="accent1"/>
          <w:left w:val="single" w:sz="8" w:space="0" w:color="FDCF85" w:themeColor="accent1"/>
          <w:bottom w:val="single" w:sz="8" w:space="0" w:color="FDCF85" w:themeColor="accent1"/>
          <w:right w:val="single" w:sz="8" w:space="0" w:color="FDCF85" w:themeColor="accent1"/>
        </w:tcBorders>
      </w:tcPr>
    </w:tblStylePr>
    <w:tblStylePr w:type="band1Vert">
      <w:tblPr/>
      <w:tcPr>
        <w:tcBorders>
          <w:top w:val="single" w:sz="8" w:space="0" w:color="FDCF85" w:themeColor="accent1"/>
          <w:left w:val="single" w:sz="8" w:space="0" w:color="FDCF85" w:themeColor="accent1"/>
          <w:bottom w:val="single" w:sz="8" w:space="0" w:color="FDCF85" w:themeColor="accent1"/>
          <w:right w:val="single" w:sz="8" w:space="0" w:color="FDCF85" w:themeColor="accent1"/>
        </w:tcBorders>
        <w:shd w:val="clear" w:color="auto" w:fill="FEF3E0" w:themeFill="accent1" w:themeFillTint="3F"/>
      </w:tcPr>
    </w:tblStylePr>
    <w:tblStylePr w:type="band1Horz">
      <w:tblPr/>
      <w:tcPr>
        <w:tcBorders>
          <w:top w:val="single" w:sz="8" w:space="0" w:color="FDCF85" w:themeColor="accent1"/>
          <w:left w:val="single" w:sz="8" w:space="0" w:color="FDCF85" w:themeColor="accent1"/>
          <w:bottom w:val="single" w:sz="8" w:space="0" w:color="FDCF85" w:themeColor="accent1"/>
          <w:right w:val="single" w:sz="8" w:space="0" w:color="FDCF85" w:themeColor="accent1"/>
          <w:insideV w:val="single" w:sz="8" w:space="0" w:color="FDCF85" w:themeColor="accent1"/>
        </w:tcBorders>
        <w:shd w:val="clear" w:color="auto" w:fill="FEF3E0" w:themeFill="accent1" w:themeFillTint="3F"/>
      </w:tcPr>
    </w:tblStylePr>
    <w:tblStylePr w:type="band2Horz">
      <w:tblPr/>
      <w:tcPr>
        <w:tcBorders>
          <w:top w:val="single" w:sz="8" w:space="0" w:color="FDCF85" w:themeColor="accent1"/>
          <w:left w:val="single" w:sz="8" w:space="0" w:color="FDCF85" w:themeColor="accent1"/>
          <w:bottom w:val="single" w:sz="8" w:space="0" w:color="FDCF85" w:themeColor="accent1"/>
          <w:right w:val="single" w:sz="8" w:space="0" w:color="FDCF85" w:themeColor="accent1"/>
          <w:insideV w:val="single" w:sz="8" w:space="0" w:color="FDCF85" w:themeColor="accent1"/>
        </w:tcBorders>
      </w:tcPr>
    </w:tblStylePr>
  </w:style>
  <w:style w:type="table" w:customStyle="1" w:styleId="LightGrid1">
    <w:name w:val="Light Grid1"/>
    <w:basedOn w:val="TableNormal"/>
    <w:uiPriority w:val="62"/>
    <w:rsid w:val="00FE755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Accent6">
    <w:name w:val="Light List Accent 6"/>
    <w:basedOn w:val="TableNormal"/>
    <w:uiPriority w:val="61"/>
    <w:rsid w:val="00FE755D"/>
    <w:pPr>
      <w:spacing w:after="0" w:line="240" w:lineRule="auto"/>
    </w:pPr>
    <w:tblPr>
      <w:tblStyleRowBandSize w:val="1"/>
      <w:tblStyleColBandSize w:val="1"/>
      <w:tblBorders>
        <w:top w:val="single" w:sz="8" w:space="0" w:color="FEE3BB" w:themeColor="accent6"/>
        <w:left w:val="single" w:sz="8" w:space="0" w:color="FEE3BB" w:themeColor="accent6"/>
        <w:bottom w:val="single" w:sz="8" w:space="0" w:color="FEE3BB" w:themeColor="accent6"/>
        <w:right w:val="single" w:sz="8" w:space="0" w:color="FEE3BB" w:themeColor="accent6"/>
      </w:tblBorders>
    </w:tblPr>
    <w:tblStylePr w:type="firstRow">
      <w:pPr>
        <w:spacing w:before="0" w:after="0" w:line="240" w:lineRule="auto"/>
      </w:pPr>
      <w:rPr>
        <w:b/>
        <w:bCs/>
        <w:color w:val="FFFFFF" w:themeColor="background1"/>
      </w:rPr>
      <w:tblPr/>
      <w:tcPr>
        <w:shd w:val="clear" w:color="auto" w:fill="FEE3BB" w:themeFill="accent6"/>
      </w:tcPr>
    </w:tblStylePr>
    <w:tblStylePr w:type="lastRow">
      <w:pPr>
        <w:spacing w:before="0" w:after="0" w:line="240" w:lineRule="auto"/>
      </w:pPr>
      <w:rPr>
        <w:b/>
        <w:bCs/>
      </w:rPr>
      <w:tblPr/>
      <w:tcPr>
        <w:tcBorders>
          <w:top w:val="double" w:sz="6" w:space="0" w:color="FEE3BB" w:themeColor="accent6"/>
          <w:left w:val="single" w:sz="8" w:space="0" w:color="FEE3BB" w:themeColor="accent6"/>
          <w:bottom w:val="single" w:sz="8" w:space="0" w:color="FEE3BB" w:themeColor="accent6"/>
          <w:right w:val="single" w:sz="8" w:space="0" w:color="FEE3BB" w:themeColor="accent6"/>
        </w:tcBorders>
      </w:tcPr>
    </w:tblStylePr>
    <w:tblStylePr w:type="firstCol">
      <w:rPr>
        <w:b/>
        <w:bCs/>
      </w:rPr>
    </w:tblStylePr>
    <w:tblStylePr w:type="lastCol">
      <w:rPr>
        <w:b/>
        <w:bCs/>
      </w:rPr>
    </w:tblStylePr>
    <w:tblStylePr w:type="band1Vert">
      <w:tblPr/>
      <w:tcPr>
        <w:tcBorders>
          <w:top w:val="single" w:sz="8" w:space="0" w:color="FEE3BB" w:themeColor="accent6"/>
          <w:left w:val="single" w:sz="8" w:space="0" w:color="FEE3BB" w:themeColor="accent6"/>
          <w:bottom w:val="single" w:sz="8" w:space="0" w:color="FEE3BB" w:themeColor="accent6"/>
          <w:right w:val="single" w:sz="8" w:space="0" w:color="FEE3BB" w:themeColor="accent6"/>
        </w:tcBorders>
      </w:tcPr>
    </w:tblStylePr>
    <w:tblStylePr w:type="band1Horz">
      <w:tblPr/>
      <w:tcPr>
        <w:tcBorders>
          <w:top w:val="single" w:sz="8" w:space="0" w:color="FEE3BB" w:themeColor="accent6"/>
          <w:left w:val="single" w:sz="8" w:space="0" w:color="FEE3BB" w:themeColor="accent6"/>
          <w:bottom w:val="single" w:sz="8" w:space="0" w:color="FEE3BB" w:themeColor="accent6"/>
          <w:right w:val="single" w:sz="8" w:space="0" w:color="FEE3BB" w:themeColor="accent6"/>
        </w:tcBorders>
      </w:tcPr>
    </w:tblStylePr>
  </w:style>
  <w:style w:type="table" w:styleId="LightList-Accent5">
    <w:name w:val="Light List Accent 5"/>
    <w:basedOn w:val="TableNormal"/>
    <w:uiPriority w:val="61"/>
    <w:rsid w:val="00FE755D"/>
    <w:pPr>
      <w:spacing w:after="0" w:line="240" w:lineRule="auto"/>
    </w:pPr>
    <w:tblPr>
      <w:tblStyleRowBandSize w:val="1"/>
      <w:tblStyleColBandSize w:val="1"/>
      <w:tblBorders>
        <w:top w:val="single" w:sz="8" w:space="0" w:color="02424C" w:themeColor="accent5"/>
        <w:left w:val="single" w:sz="8" w:space="0" w:color="02424C" w:themeColor="accent5"/>
        <w:bottom w:val="single" w:sz="8" w:space="0" w:color="02424C" w:themeColor="accent5"/>
        <w:right w:val="single" w:sz="8" w:space="0" w:color="02424C" w:themeColor="accent5"/>
      </w:tblBorders>
    </w:tblPr>
    <w:tblStylePr w:type="firstRow">
      <w:pPr>
        <w:spacing w:before="0" w:after="0" w:line="240" w:lineRule="auto"/>
      </w:pPr>
      <w:rPr>
        <w:b/>
        <w:bCs/>
        <w:color w:val="FFFFFF" w:themeColor="background1"/>
      </w:rPr>
      <w:tblPr/>
      <w:tcPr>
        <w:shd w:val="clear" w:color="auto" w:fill="02424C" w:themeFill="accent5"/>
      </w:tcPr>
    </w:tblStylePr>
    <w:tblStylePr w:type="lastRow">
      <w:pPr>
        <w:spacing w:before="0" w:after="0" w:line="240" w:lineRule="auto"/>
      </w:pPr>
      <w:rPr>
        <w:b/>
        <w:bCs/>
      </w:rPr>
      <w:tblPr/>
      <w:tcPr>
        <w:tcBorders>
          <w:top w:val="double" w:sz="6" w:space="0" w:color="02424C" w:themeColor="accent5"/>
          <w:left w:val="single" w:sz="8" w:space="0" w:color="02424C" w:themeColor="accent5"/>
          <w:bottom w:val="single" w:sz="8" w:space="0" w:color="02424C" w:themeColor="accent5"/>
          <w:right w:val="single" w:sz="8" w:space="0" w:color="02424C" w:themeColor="accent5"/>
        </w:tcBorders>
      </w:tcPr>
    </w:tblStylePr>
    <w:tblStylePr w:type="firstCol">
      <w:rPr>
        <w:b/>
        <w:bCs/>
      </w:rPr>
    </w:tblStylePr>
    <w:tblStylePr w:type="lastCol">
      <w:rPr>
        <w:b/>
        <w:bCs/>
      </w:rPr>
    </w:tblStylePr>
    <w:tblStylePr w:type="band1Vert">
      <w:tblPr/>
      <w:tcPr>
        <w:tcBorders>
          <w:top w:val="single" w:sz="8" w:space="0" w:color="02424C" w:themeColor="accent5"/>
          <w:left w:val="single" w:sz="8" w:space="0" w:color="02424C" w:themeColor="accent5"/>
          <w:bottom w:val="single" w:sz="8" w:space="0" w:color="02424C" w:themeColor="accent5"/>
          <w:right w:val="single" w:sz="8" w:space="0" w:color="02424C" w:themeColor="accent5"/>
        </w:tcBorders>
      </w:tcPr>
    </w:tblStylePr>
    <w:tblStylePr w:type="band1Horz">
      <w:tblPr/>
      <w:tcPr>
        <w:tcBorders>
          <w:top w:val="single" w:sz="8" w:space="0" w:color="02424C" w:themeColor="accent5"/>
          <w:left w:val="single" w:sz="8" w:space="0" w:color="02424C" w:themeColor="accent5"/>
          <w:bottom w:val="single" w:sz="8" w:space="0" w:color="02424C" w:themeColor="accent5"/>
          <w:right w:val="single" w:sz="8" w:space="0" w:color="02424C" w:themeColor="accent5"/>
        </w:tcBorders>
      </w:tcPr>
    </w:tblStylePr>
  </w:style>
  <w:style w:type="table" w:styleId="LightList-Accent4">
    <w:name w:val="Light List Accent 4"/>
    <w:basedOn w:val="TableNormal"/>
    <w:uiPriority w:val="61"/>
    <w:rsid w:val="00FE755D"/>
    <w:pPr>
      <w:spacing w:after="0" w:line="240" w:lineRule="auto"/>
    </w:pPr>
    <w:tblPr>
      <w:tblStyleRowBandSize w:val="1"/>
      <w:tblStyleColBandSize w:val="1"/>
      <w:tblBorders>
        <w:top w:val="single" w:sz="8" w:space="0" w:color="306673" w:themeColor="accent4"/>
        <w:left w:val="single" w:sz="8" w:space="0" w:color="306673" w:themeColor="accent4"/>
        <w:bottom w:val="single" w:sz="8" w:space="0" w:color="306673" w:themeColor="accent4"/>
        <w:right w:val="single" w:sz="8" w:space="0" w:color="306673" w:themeColor="accent4"/>
      </w:tblBorders>
    </w:tblPr>
    <w:tblStylePr w:type="firstRow">
      <w:pPr>
        <w:spacing w:before="0" w:after="0" w:line="240" w:lineRule="auto"/>
      </w:pPr>
      <w:rPr>
        <w:b/>
        <w:bCs/>
        <w:color w:val="FFFFFF" w:themeColor="background1"/>
      </w:rPr>
      <w:tblPr/>
      <w:tcPr>
        <w:shd w:val="clear" w:color="auto" w:fill="306673" w:themeFill="accent4"/>
      </w:tcPr>
    </w:tblStylePr>
    <w:tblStylePr w:type="lastRow">
      <w:pPr>
        <w:spacing w:before="0" w:after="0" w:line="240" w:lineRule="auto"/>
      </w:pPr>
      <w:rPr>
        <w:b/>
        <w:bCs/>
      </w:rPr>
      <w:tblPr/>
      <w:tcPr>
        <w:tcBorders>
          <w:top w:val="double" w:sz="6" w:space="0" w:color="306673" w:themeColor="accent4"/>
          <w:left w:val="single" w:sz="8" w:space="0" w:color="306673" w:themeColor="accent4"/>
          <w:bottom w:val="single" w:sz="8" w:space="0" w:color="306673" w:themeColor="accent4"/>
          <w:right w:val="single" w:sz="8" w:space="0" w:color="306673" w:themeColor="accent4"/>
        </w:tcBorders>
      </w:tcPr>
    </w:tblStylePr>
    <w:tblStylePr w:type="firstCol">
      <w:rPr>
        <w:b/>
        <w:bCs/>
      </w:rPr>
    </w:tblStylePr>
    <w:tblStylePr w:type="lastCol">
      <w:rPr>
        <w:b/>
        <w:bCs/>
      </w:rPr>
    </w:tblStylePr>
    <w:tblStylePr w:type="band1Vert">
      <w:tblPr/>
      <w:tcPr>
        <w:tcBorders>
          <w:top w:val="single" w:sz="8" w:space="0" w:color="306673" w:themeColor="accent4"/>
          <w:left w:val="single" w:sz="8" w:space="0" w:color="306673" w:themeColor="accent4"/>
          <w:bottom w:val="single" w:sz="8" w:space="0" w:color="306673" w:themeColor="accent4"/>
          <w:right w:val="single" w:sz="8" w:space="0" w:color="306673" w:themeColor="accent4"/>
        </w:tcBorders>
      </w:tcPr>
    </w:tblStylePr>
    <w:tblStylePr w:type="band1Horz">
      <w:tblPr/>
      <w:tcPr>
        <w:tcBorders>
          <w:top w:val="single" w:sz="8" w:space="0" w:color="306673" w:themeColor="accent4"/>
          <w:left w:val="single" w:sz="8" w:space="0" w:color="306673" w:themeColor="accent4"/>
          <w:bottom w:val="single" w:sz="8" w:space="0" w:color="306673" w:themeColor="accent4"/>
          <w:right w:val="single" w:sz="8" w:space="0" w:color="306673" w:themeColor="accent4"/>
        </w:tcBorders>
      </w:tcPr>
    </w:tblStylePr>
  </w:style>
  <w:style w:type="paragraph" w:customStyle="1" w:styleId="Default">
    <w:name w:val="Default"/>
    <w:basedOn w:val="Normal"/>
    <w:link w:val="DefaultChar"/>
    <w:rsid w:val="006B6036"/>
    <w:pPr>
      <w:autoSpaceDE w:val="0"/>
      <w:autoSpaceDN w:val="0"/>
      <w:spacing w:line="240" w:lineRule="auto"/>
    </w:pPr>
    <w:rPr>
      <w:rFonts w:ascii="Times New Roman" w:eastAsiaTheme="minorHAnsi" w:hAnsi="Times New Roman" w:cs="Times New Roman"/>
      <w:color w:val="000000"/>
      <w:szCs w:val="24"/>
      <w:lang w:eastAsia="en-US"/>
    </w:rPr>
  </w:style>
  <w:style w:type="character" w:customStyle="1" w:styleId="CaptionChar">
    <w:name w:val="Caption Char"/>
    <w:aliases w:val="Table caption Char,paveikslas Char,Paveikslo pavadinimas Char,TabelOverskrift Char,Char Char Char Char,Caption1 Char Char Char Char Char Char Char Char Char,Caption1 Char Char Char Char Char Char Char Char Tegn Tegn Tegn Tegn Tegn Char"/>
    <w:link w:val="Caption"/>
    <w:rsid w:val="006B6036"/>
    <w:rPr>
      <w:rFonts w:ascii="Cambria" w:hAnsi="Cambria"/>
      <w:b/>
      <w:bCs/>
      <w:szCs w:val="18"/>
    </w:rPr>
  </w:style>
  <w:style w:type="paragraph" w:styleId="NormalWeb">
    <w:name w:val="Normal (Web)"/>
    <w:basedOn w:val="Normal"/>
    <w:uiPriority w:val="99"/>
    <w:semiHidden/>
    <w:unhideWhenUsed/>
    <w:rsid w:val="006B6036"/>
    <w:pPr>
      <w:spacing w:before="100" w:beforeAutospacing="1" w:after="100" w:afterAutospacing="1" w:line="240" w:lineRule="auto"/>
    </w:pPr>
    <w:rPr>
      <w:rFonts w:ascii="Times New Roman" w:hAnsi="Times New Roman" w:cs="Times New Roman"/>
      <w:szCs w:val="24"/>
      <w:lang w:val="en-US" w:eastAsia="en-US"/>
    </w:rPr>
  </w:style>
  <w:style w:type="character" w:customStyle="1" w:styleId="hps">
    <w:name w:val="hps"/>
    <w:rsid w:val="002B0DC2"/>
  </w:style>
  <w:style w:type="character" w:customStyle="1" w:styleId="DefaultChar">
    <w:name w:val="Default Char"/>
    <w:link w:val="Default"/>
    <w:rsid w:val="00DF5A9C"/>
    <w:rPr>
      <w:rFonts w:ascii="Times New Roman" w:eastAsiaTheme="minorHAnsi" w:hAnsi="Times New Roman" w:cs="Times New Roman"/>
      <w:color w:val="000000"/>
      <w:sz w:val="24"/>
      <w:szCs w:val="24"/>
      <w:lang w:eastAsia="en-US"/>
    </w:rPr>
  </w:style>
  <w:style w:type="character" w:customStyle="1" w:styleId="apple-converted-space">
    <w:name w:val="apple-converted-space"/>
    <w:basedOn w:val="DefaultParagraphFont"/>
    <w:rsid w:val="00DF5A9C"/>
  </w:style>
  <w:style w:type="paragraph" w:customStyle="1" w:styleId="Text1">
    <w:name w:val="Text 1"/>
    <w:basedOn w:val="Normal"/>
    <w:link w:val="Text1Char"/>
    <w:rsid w:val="00F130B7"/>
    <w:pPr>
      <w:spacing w:after="240" w:line="240" w:lineRule="auto"/>
      <w:ind w:left="482"/>
      <w:jc w:val="both"/>
    </w:pPr>
    <w:rPr>
      <w:rFonts w:ascii="Times New Roman" w:eastAsia="Times New Roman" w:hAnsi="Times New Roman" w:cs="Times New Roman"/>
      <w:szCs w:val="20"/>
      <w:lang w:val="en-GB" w:eastAsia="en-US"/>
    </w:rPr>
  </w:style>
  <w:style w:type="character" w:customStyle="1" w:styleId="Text1Char">
    <w:name w:val="Text 1 Char"/>
    <w:link w:val="Text1"/>
    <w:locked/>
    <w:rsid w:val="00F130B7"/>
    <w:rPr>
      <w:rFonts w:ascii="Times New Roman" w:eastAsia="Times New Roman" w:hAnsi="Times New Roman" w:cs="Times New Roman"/>
      <w:sz w:val="24"/>
      <w:szCs w:val="20"/>
      <w:lang w:val="en-GB" w:eastAsia="en-US"/>
    </w:rPr>
  </w:style>
  <w:style w:type="character" w:styleId="CommentReference">
    <w:name w:val="annotation reference"/>
    <w:basedOn w:val="DefaultParagraphFont"/>
    <w:uiPriority w:val="99"/>
    <w:semiHidden/>
    <w:unhideWhenUsed/>
    <w:rsid w:val="00495065"/>
    <w:rPr>
      <w:sz w:val="16"/>
      <w:szCs w:val="16"/>
    </w:rPr>
  </w:style>
  <w:style w:type="paragraph" w:styleId="CommentText">
    <w:name w:val="annotation text"/>
    <w:basedOn w:val="Normal"/>
    <w:link w:val="CommentTextChar"/>
    <w:uiPriority w:val="99"/>
    <w:unhideWhenUsed/>
    <w:rsid w:val="00495065"/>
    <w:pPr>
      <w:spacing w:line="240" w:lineRule="auto"/>
    </w:pPr>
    <w:rPr>
      <w:sz w:val="20"/>
      <w:szCs w:val="20"/>
    </w:rPr>
  </w:style>
  <w:style w:type="character" w:customStyle="1" w:styleId="CommentTextChar">
    <w:name w:val="Comment Text Char"/>
    <w:basedOn w:val="DefaultParagraphFont"/>
    <w:link w:val="CommentText"/>
    <w:uiPriority w:val="99"/>
    <w:rsid w:val="00495065"/>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495065"/>
    <w:rPr>
      <w:b/>
      <w:bCs/>
    </w:rPr>
  </w:style>
  <w:style w:type="character" w:customStyle="1" w:styleId="CommentSubjectChar">
    <w:name w:val="Comment Subject Char"/>
    <w:basedOn w:val="CommentTextChar"/>
    <w:link w:val="CommentSubject"/>
    <w:uiPriority w:val="99"/>
    <w:semiHidden/>
    <w:rsid w:val="00495065"/>
    <w:rPr>
      <w:rFonts w:ascii="Cambria" w:hAnsi="Cambria"/>
      <w:b/>
      <w:bCs/>
      <w:sz w:val="20"/>
      <w:szCs w:val="20"/>
    </w:rPr>
  </w:style>
  <w:style w:type="table" w:styleId="ColorfulList-Accent2">
    <w:name w:val="Colorful List Accent 2"/>
    <w:basedOn w:val="TableNormal"/>
    <w:uiPriority w:val="72"/>
    <w:rsid w:val="0059500B"/>
    <w:pPr>
      <w:spacing w:after="0" w:line="240" w:lineRule="auto"/>
    </w:pPr>
    <w:rPr>
      <w:color w:val="000000" w:themeColor="text1"/>
    </w:rPr>
    <w:tblPr>
      <w:tblStyleRowBandSize w:val="1"/>
      <w:tblStyleColBandSize w:val="1"/>
    </w:tblPr>
    <w:tcPr>
      <w:shd w:val="clear" w:color="auto" w:fill="FEF7EA" w:themeFill="accent2" w:themeFillTint="19"/>
    </w:tcPr>
    <w:tblStylePr w:type="firstRow">
      <w:rPr>
        <w:b/>
        <w:bCs/>
        <w:color w:val="FFFFFF" w:themeColor="background1"/>
      </w:rPr>
      <w:tblPr/>
      <w:tcPr>
        <w:tcBorders>
          <w:bottom w:val="single" w:sz="12" w:space="0" w:color="FFFFFF" w:themeColor="background1"/>
        </w:tcBorders>
        <w:shd w:val="clear" w:color="auto" w:fill="E79505" w:themeFill="accent2" w:themeFillShade="CC"/>
      </w:tcPr>
    </w:tblStylePr>
    <w:tblStylePr w:type="lastRow">
      <w:rPr>
        <w:b/>
        <w:bCs/>
        <w:color w:val="E79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BCB" w:themeFill="accent2" w:themeFillTint="3F"/>
      </w:tcPr>
    </w:tblStylePr>
    <w:tblStylePr w:type="band1Horz">
      <w:tblPr/>
      <w:tcPr>
        <w:shd w:val="clear" w:color="auto" w:fill="FEEFD5" w:themeFill="accent2" w:themeFillTint="33"/>
      </w:tcPr>
    </w:tblStylePr>
  </w:style>
  <w:style w:type="paragraph" w:customStyle="1" w:styleId="Sraopastraipa2">
    <w:name w:val="Sąrašo pastraipa2"/>
    <w:basedOn w:val="Normal"/>
    <w:qFormat/>
    <w:rsid w:val="008B5394"/>
    <w:pPr>
      <w:ind w:left="720"/>
      <w:contextualSpacing/>
      <w:jc w:val="both"/>
    </w:pPr>
    <w:rPr>
      <w:rFonts w:ascii="Calibri" w:eastAsia="Calibri" w:hAnsi="Calibri" w:cs="Times New Roman"/>
      <w:sz w:val="22"/>
      <w:lang w:eastAsia="en-US"/>
    </w:rPr>
  </w:style>
  <w:style w:type="table" w:customStyle="1" w:styleId="TableGrid1">
    <w:name w:val="Table Grid1"/>
    <w:basedOn w:val="TableNormal"/>
    <w:next w:val="TableGrid"/>
    <w:uiPriority w:val="59"/>
    <w:rsid w:val="0005317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PVILentele11">
    <w:name w:val="VPVI Lentele 11"/>
    <w:basedOn w:val="TableGrid"/>
    <w:uiPriority w:val="99"/>
    <w:rsid w:val="00053174"/>
    <w:pPr>
      <w:spacing w:line="276" w:lineRule="auto"/>
      <w:contextualSpacing/>
    </w:pPr>
    <w:rPr>
      <w:rFonts w:ascii="Calibri" w:eastAsia="Times New Roman" w:hAnsi="Calibri" w:cs="Times New Roman"/>
      <w:sz w:val="20"/>
      <w:lang w:eastAsia="en-US"/>
    </w:rPr>
    <w:tblPr/>
    <w:tblStylePr w:type="firstRow">
      <w:pPr>
        <w:wordWrap/>
        <w:spacing w:line="276" w:lineRule="auto"/>
        <w:jc w:val="center"/>
      </w:pPr>
      <w:rPr>
        <w:rFonts w:ascii="Calibri" w:hAnsi="Calibri" w:hint="default"/>
        <w:b/>
        <w:sz w:val="22"/>
        <w:szCs w:val="22"/>
      </w:rPr>
      <w:tblPr/>
      <w:tcPr>
        <w:shd w:val="clear" w:color="auto" w:fill="00505E"/>
      </w:tcPr>
    </w:tblStylePr>
    <w:tblStylePr w:type="lastRow">
      <w:pPr>
        <w:wordWrap/>
        <w:spacing w:beforeLines="0" w:beforeAutospacing="1" w:afterLines="0" w:afterAutospacing="1" w:line="276" w:lineRule="auto"/>
        <w:ind w:leftChars="0" w:left="0" w:rightChars="0" w:right="0"/>
        <w:contextualSpacing/>
        <w:jc w:val="left"/>
      </w:pPr>
      <w:rPr>
        <w:rFonts w:ascii="Calibri" w:hAnsi="Calibri" w:hint="default"/>
        <w:sz w:val="18"/>
        <w:szCs w:val="18"/>
      </w:rPr>
      <w:tblPr/>
      <w:tcPr>
        <w:tcBorders>
          <w:top w:val="nil"/>
          <w:left w:val="nil"/>
          <w:bottom w:val="nil"/>
          <w:right w:val="nil"/>
          <w:insideH w:val="nil"/>
          <w:insideV w:val="nil"/>
          <w:tl2br w:val="nil"/>
          <w:tr2bl w:val="nil"/>
        </w:tcBorders>
      </w:tcPr>
    </w:tblStylePr>
    <w:tblStylePr w:type="firstCol">
      <w:pPr>
        <w:wordWrap/>
        <w:spacing w:line="276" w:lineRule="auto"/>
        <w:jc w:val="left"/>
      </w:pPr>
      <w:rPr>
        <w:rFonts w:ascii="Calibri" w:hAnsi="Calibri" w:hint="default"/>
      </w:rPr>
    </w:tblStylePr>
    <w:tblStylePr w:type="lastCol">
      <w:pPr>
        <w:wordWrap/>
        <w:spacing w:line="276" w:lineRule="auto"/>
        <w:jc w:val="left"/>
      </w:pPr>
      <w:rPr>
        <w:rFonts w:ascii="Calibri" w:hAnsi="Calibri" w:hint="default"/>
      </w:rPr>
    </w:tblStylePr>
    <w:tblStylePr w:type="band1Vert">
      <w:pPr>
        <w:jc w:val="left"/>
      </w:pPr>
      <w:rPr>
        <w:rFonts w:ascii="Calibri" w:hAnsi="Calibri" w:hint="default"/>
      </w:rPr>
    </w:tblStylePr>
    <w:tblStylePr w:type="band2Vert">
      <w:pPr>
        <w:jc w:val="left"/>
      </w:pPr>
      <w:rPr>
        <w:rFonts w:ascii="Calibri" w:hAnsi="Calibri" w:hint="default"/>
      </w:rPr>
    </w:tblStylePr>
    <w:tblStylePr w:type="band1Horz">
      <w:pPr>
        <w:wordWrap/>
        <w:spacing w:beforeLines="0" w:beforeAutospacing="1" w:afterLines="0" w:afterAutospacing="1" w:line="276" w:lineRule="auto"/>
        <w:contextualSpacing/>
        <w:jc w:val="left"/>
      </w:pPr>
      <w:rPr>
        <w:rFonts w:ascii="Calibri" w:hAnsi="Calibri" w:hint="default"/>
        <w:b w:val="0"/>
        <w:sz w:val="20"/>
        <w:szCs w:val="20"/>
      </w:rPr>
      <w:tblPr/>
      <w:tcPr>
        <w:shd w:val="clear" w:color="auto" w:fill="F6E2A3"/>
      </w:tcPr>
    </w:tblStylePr>
    <w:tblStylePr w:type="band2Horz">
      <w:pPr>
        <w:wordWrap/>
        <w:spacing w:beforeLines="0" w:beforeAutospacing="1" w:afterLines="0" w:afterAutospacing="1" w:line="276" w:lineRule="auto"/>
        <w:ind w:firstLineChars="0" w:firstLine="0"/>
        <w:contextualSpacing/>
        <w:jc w:val="left"/>
      </w:pPr>
      <w:rPr>
        <w:rFonts w:ascii="Calibri" w:hAnsi="Calibri" w:hint="default"/>
        <w:b w:val="0"/>
        <w:sz w:val="20"/>
        <w:szCs w:val="20"/>
      </w:rPr>
    </w:tblStylePr>
    <w:tblStylePr w:type="neCell">
      <w:pPr>
        <w:wordWrap/>
        <w:spacing w:beforeLines="0" w:beforeAutospacing="1" w:afterLines="0" w:afterAutospacing="1" w:line="276" w:lineRule="auto"/>
        <w:contextualSpacing/>
        <w:jc w:val="center"/>
      </w:pPr>
      <w:rPr>
        <w:rFonts w:ascii="Calibri" w:hAnsi="Calibri" w:hint="default"/>
        <w:sz w:val="22"/>
        <w:szCs w:val="22"/>
      </w:rPr>
    </w:tblStylePr>
    <w:tblStylePr w:type="nwCell">
      <w:pPr>
        <w:jc w:val="left"/>
      </w:pPr>
      <w:rPr>
        <w:rFonts w:ascii="Calibri" w:hAnsi="Calibri" w:hint="default"/>
      </w:rPr>
    </w:tblStylePr>
    <w:tblStylePr w:type="seCell">
      <w:pPr>
        <w:jc w:val="left"/>
      </w:pPr>
      <w:rPr>
        <w:rFonts w:ascii="Calibri" w:hAnsi="Calibri" w:hint="default"/>
        <w:sz w:val="18"/>
        <w:szCs w:val="18"/>
      </w:rPr>
    </w:tblStylePr>
    <w:tblStylePr w:type="swCell">
      <w:pPr>
        <w:jc w:val="left"/>
      </w:pPr>
      <w:rPr>
        <w:rFonts w:ascii="Calibri" w:hAnsi="Calibri" w:hint="default"/>
        <w:sz w:val="18"/>
        <w:szCs w:val="18"/>
      </w:rPr>
    </w:tblStylePr>
  </w:style>
  <w:style w:type="table" w:customStyle="1" w:styleId="TableGrid2">
    <w:name w:val="Table Grid2"/>
    <w:basedOn w:val="TableNormal"/>
    <w:next w:val="TableGrid"/>
    <w:uiPriority w:val="59"/>
    <w:rsid w:val="0005317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Normal"/>
    <w:rsid w:val="00D813C8"/>
    <w:pPr>
      <w:spacing w:before="100" w:beforeAutospacing="1" w:after="100" w:afterAutospacing="1" w:line="240" w:lineRule="auto"/>
    </w:pPr>
    <w:rPr>
      <w:rFonts w:ascii="Times New Roman" w:eastAsia="Times New Roman" w:hAnsi="Times New Roman" w:cs="Times New Roman"/>
      <w:szCs w:val="24"/>
    </w:rPr>
  </w:style>
  <w:style w:type="character" w:styleId="PageNumber">
    <w:name w:val="page number"/>
    <w:basedOn w:val="DefaultParagraphFont"/>
    <w:uiPriority w:val="99"/>
    <w:semiHidden/>
    <w:unhideWhenUsed/>
    <w:rsid w:val="00B6422A"/>
  </w:style>
  <w:style w:type="character" w:styleId="FollowedHyperlink">
    <w:name w:val="FollowedHyperlink"/>
    <w:basedOn w:val="DefaultParagraphFont"/>
    <w:uiPriority w:val="99"/>
    <w:semiHidden/>
    <w:unhideWhenUsed/>
    <w:rsid w:val="00406D19"/>
    <w:rPr>
      <w:color w:val="800080" w:themeColor="followedHyperlink"/>
      <w:u w:val="single"/>
    </w:rPr>
  </w:style>
  <w:style w:type="paragraph" w:customStyle="1" w:styleId="Point0number">
    <w:name w:val="Point 0 (number)"/>
    <w:basedOn w:val="Normal"/>
    <w:rsid w:val="007702D5"/>
    <w:pPr>
      <w:numPr>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1number">
    <w:name w:val="Point 1 (number)"/>
    <w:basedOn w:val="Normal"/>
    <w:rsid w:val="007702D5"/>
    <w:pPr>
      <w:numPr>
        <w:ilvl w:val="2"/>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2number">
    <w:name w:val="Point 2 (number)"/>
    <w:basedOn w:val="Normal"/>
    <w:rsid w:val="007702D5"/>
    <w:pPr>
      <w:numPr>
        <w:ilvl w:val="4"/>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3number">
    <w:name w:val="Point 3 (number)"/>
    <w:basedOn w:val="Normal"/>
    <w:rsid w:val="007702D5"/>
    <w:pPr>
      <w:numPr>
        <w:ilvl w:val="6"/>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0letter">
    <w:name w:val="Point 0 (letter)"/>
    <w:basedOn w:val="Normal"/>
    <w:rsid w:val="007702D5"/>
    <w:pPr>
      <w:numPr>
        <w:ilvl w:val="1"/>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1letter">
    <w:name w:val="Point 1 (letter)"/>
    <w:basedOn w:val="Normal"/>
    <w:rsid w:val="007702D5"/>
    <w:pPr>
      <w:numPr>
        <w:ilvl w:val="3"/>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2letter">
    <w:name w:val="Point 2 (letter)"/>
    <w:basedOn w:val="Normal"/>
    <w:rsid w:val="007702D5"/>
    <w:pPr>
      <w:numPr>
        <w:ilvl w:val="5"/>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3letter">
    <w:name w:val="Point 3 (letter)"/>
    <w:basedOn w:val="Normal"/>
    <w:rsid w:val="007702D5"/>
    <w:pPr>
      <w:numPr>
        <w:ilvl w:val="7"/>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4letter">
    <w:name w:val="Point 4 (letter)"/>
    <w:basedOn w:val="Normal"/>
    <w:rsid w:val="007702D5"/>
    <w:pPr>
      <w:numPr>
        <w:ilvl w:val="8"/>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2">
    <w:name w:val="Point 2"/>
    <w:basedOn w:val="Normal"/>
    <w:rsid w:val="007702D5"/>
    <w:pPr>
      <w:spacing w:before="120" w:after="120" w:line="240" w:lineRule="auto"/>
      <w:ind w:left="1984" w:hanging="567"/>
      <w:jc w:val="both"/>
    </w:pPr>
    <w:rPr>
      <w:rFonts w:ascii="Times New Roman" w:eastAsia="Times New Roman" w:hAnsi="Times New Roman" w:cs="Times New Roman"/>
      <w:szCs w:val="24"/>
      <w:lang w:val="en-GB" w:eastAsia="en-US"/>
    </w:rPr>
  </w:style>
  <w:style w:type="paragraph" w:customStyle="1" w:styleId="CM1">
    <w:name w:val="CM1"/>
    <w:basedOn w:val="Default"/>
    <w:next w:val="Default"/>
    <w:uiPriority w:val="99"/>
    <w:rsid w:val="0046624C"/>
    <w:pPr>
      <w:adjustRightInd w:val="0"/>
    </w:pPr>
    <w:rPr>
      <w:rFonts w:ascii="EUAlbertina" w:eastAsiaTheme="minorEastAsia" w:hAnsi="EUAlbertina" w:cstheme="minorBidi"/>
      <w:color w:val="auto"/>
      <w:lang w:eastAsia="lt-LT"/>
    </w:rPr>
  </w:style>
  <w:style w:type="paragraph" w:customStyle="1" w:styleId="CM3">
    <w:name w:val="CM3"/>
    <w:basedOn w:val="Default"/>
    <w:next w:val="Default"/>
    <w:uiPriority w:val="99"/>
    <w:rsid w:val="0046624C"/>
    <w:pPr>
      <w:adjustRightInd w:val="0"/>
    </w:pPr>
    <w:rPr>
      <w:rFonts w:ascii="EUAlbertina" w:eastAsiaTheme="minorEastAsia" w:hAnsi="EUAlbertina" w:cstheme="minorBidi"/>
      <w:color w:val="auto"/>
      <w:lang w:eastAsia="lt-LT"/>
    </w:rPr>
  </w:style>
  <w:style w:type="character" w:customStyle="1" w:styleId="st">
    <w:name w:val="st"/>
    <w:basedOn w:val="DefaultParagraphFont"/>
    <w:rsid w:val="0074365F"/>
  </w:style>
  <w:style w:type="table" w:customStyle="1" w:styleId="LightShading-Accent12">
    <w:name w:val="Light Shading - Accent 12"/>
    <w:basedOn w:val="TableNormal"/>
    <w:uiPriority w:val="60"/>
    <w:rsid w:val="0070609E"/>
    <w:pPr>
      <w:spacing w:after="0" w:line="240" w:lineRule="auto"/>
    </w:pPr>
    <w:rPr>
      <w:color w:val="FBA925" w:themeColor="accent1" w:themeShade="BF"/>
    </w:rPr>
    <w:tblPr>
      <w:tblStyleRowBandSize w:val="1"/>
      <w:tblStyleColBandSize w:val="1"/>
      <w:tblBorders>
        <w:top w:val="single" w:sz="8" w:space="0" w:color="FDCF85" w:themeColor="accent1"/>
        <w:bottom w:val="single" w:sz="8" w:space="0" w:color="FDCF85" w:themeColor="accent1"/>
      </w:tblBorders>
    </w:tblPr>
    <w:tblStylePr w:type="firstRow">
      <w:pPr>
        <w:spacing w:before="0" w:after="0" w:line="240" w:lineRule="auto"/>
      </w:pPr>
      <w:rPr>
        <w:b/>
        <w:bCs/>
      </w:rPr>
      <w:tblPr/>
      <w:tcPr>
        <w:tcBorders>
          <w:top w:val="single" w:sz="8" w:space="0" w:color="FDCF85" w:themeColor="accent1"/>
          <w:left w:val="nil"/>
          <w:bottom w:val="single" w:sz="8" w:space="0" w:color="FDCF85" w:themeColor="accent1"/>
          <w:right w:val="nil"/>
          <w:insideH w:val="nil"/>
          <w:insideV w:val="nil"/>
        </w:tcBorders>
      </w:tcPr>
    </w:tblStylePr>
    <w:tblStylePr w:type="lastRow">
      <w:pPr>
        <w:spacing w:before="0" w:after="0" w:line="240" w:lineRule="auto"/>
      </w:pPr>
      <w:rPr>
        <w:b/>
        <w:bCs/>
      </w:rPr>
      <w:tblPr/>
      <w:tcPr>
        <w:tcBorders>
          <w:top w:val="single" w:sz="8" w:space="0" w:color="FDCF85" w:themeColor="accent1"/>
          <w:left w:val="nil"/>
          <w:bottom w:val="single" w:sz="8" w:space="0" w:color="FDCF8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3E0" w:themeFill="accent1" w:themeFillTint="3F"/>
      </w:tcPr>
    </w:tblStylePr>
    <w:tblStylePr w:type="band1Horz">
      <w:tblPr/>
      <w:tcPr>
        <w:tcBorders>
          <w:left w:val="nil"/>
          <w:right w:val="nil"/>
          <w:insideH w:val="nil"/>
          <w:insideV w:val="nil"/>
        </w:tcBorders>
        <w:shd w:val="clear" w:color="auto" w:fill="FEF3E0" w:themeFill="accent1" w:themeFillTint="3F"/>
      </w:tcPr>
    </w:tblStylePr>
  </w:style>
  <w:style w:type="table" w:styleId="MediumGrid1-Accent6">
    <w:name w:val="Medium Grid 1 Accent 6"/>
    <w:basedOn w:val="TableNormal"/>
    <w:uiPriority w:val="67"/>
    <w:rsid w:val="0070609E"/>
    <w:pPr>
      <w:spacing w:after="0" w:line="240" w:lineRule="auto"/>
    </w:pPr>
    <w:tblPr>
      <w:tblStyleRowBandSize w:val="1"/>
      <w:tblStyleColBandSize w:val="1"/>
      <w:tblBorders>
        <w:top w:val="single" w:sz="8" w:space="0" w:color="FEE9CB" w:themeColor="accent6" w:themeTint="BF"/>
        <w:left w:val="single" w:sz="8" w:space="0" w:color="FEE9CB" w:themeColor="accent6" w:themeTint="BF"/>
        <w:bottom w:val="single" w:sz="8" w:space="0" w:color="FEE9CB" w:themeColor="accent6" w:themeTint="BF"/>
        <w:right w:val="single" w:sz="8" w:space="0" w:color="FEE9CB" w:themeColor="accent6" w:themeTint="BF"/>
        <w:insideH w:val="single" w:sz="8" w:space="0" w:color="FEE9CB" w:themeColor="accent6" w:themeTint="BF"/>
        <w:insideV w:val="single" w:sz="8" w:space="0" w:color="FEE9CB" w:themeColor="accent6" w:themeTint="BF"/>
      </w:tblBorders>
    </w:tblPr>
    <w:tcPr>
      <w:shd w:val="clear" w:color="auto" w:fill="FEF7ED" w:themeFill="accent6" w:themeFillTint="3F"/>
    </w:tcPr>
    <w:tblStylePr w:type="firstRow">
      <w:rPr>
        <w:b/>
        <w:bCs/>
      </w:rPr>
    </w:tblStylePr>
    <w:tblStylePr w:type="lastRow">
      <w:rPr>
        <w:b/>
        <w:bCs/>
      </w:rPr>
      <w:tblPr/>
      <w:tcPr>
        <w:tcBorders>
          <w:top w:val="single" w:sz="18" w:space="0" w:color="FEE9CB" w:themeColor="accent6" w:themeTint="BF"/>
        </w:tcBorders>
      </w:tcPr>
    </w:tblStylePr>
    <w:tblStylePr w:type="firstCol">
      <w:rPr>
        <w:b/>
        <w:bCs/>
      </w:rPr>
    </w:tblStylePr>
    <w:tblStylePr w:type="lastCol">
      <w:rPr>
        <w:b/>
        <w:bCs/>
      </w:rPr>
    </w:tblStylePr>
    <w:tblStylePr w:type="band1Vert">
      <w:tblPr/>
      <w:tcPr>
        <w:shd w:val="clear" w:color="auto" w:fill="FEF0DC" w:themeFill="accent6" w:themeFillTint="7F"/>
      </w:tcPr>
    </w:tblStylePr>
    <w:tblStylePr w:type="band1Horz">
      <w:tblPr/>
      <w:tcPr>
        <w:shd w:val="clear" w:color="auto" w:fill="FEF0DC" w:themeFill="accent6" w:themeFillTint="7F"/>
      </w:tcPr>
    </w:tblStylePr>
  </w:style>
  <w:style w:type="table" w:styleId="MediumGrid3-Accent6">
    <w:name w:val="Medium Grid 3 Accent 6"/>
    <w:basedOn w:val="TableNormal"/>
    <w:uiPriority w:val="69"/>
    <w:rsid w:val="007060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7E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E3B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E3B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E3B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E3B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F0D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F0DC" w:themeFill="accent6" w:themeFillTint="7F"/>
      </w:tcPr>
    </w:tblStylePr>
  </w:style>
  <w:style w:type="character" w:customStyle="1" w:styleId="Hyperlink1">
    <w:name w:val="Hyperlink1"/>
    <w:basedOn w:val="DefaultParagraphFont"/>
    <w:uiPriority w:val="99"/>
    <w:unhideWhenUsed/>
    <w:rsid w:val="00387B11"/>
    <w:rPr>
      <w:color w:val="0000FF"/>
      <w:u w:val="single"/>
    </w:rPr>
  </w:style>
  <w:style w:type="table" w:styleId="ColorfulList-Accent6">
    <w:name w:val="Colorful List Accent 6"/>
    <w:basedOn w:val="TableNormal"/>
    <w:uiPriority w:val="72"/>
    <w:rsid w:val="006C7E10"/>
    <w:pPr>
      <w:spacing w:after="0" w:line="240" w:lineRule="auto"/>
    </w:pPr>
    <w:rPr>
      <w:rFonts w:eastAsiaTheme="minorHAnsi"/>
      <w:color w:val="000000" w:themeColor="text1"/>
      <w:lang w:eastAsia="en-US"/>
    </w:rPr>
    <w:tblPr>
      <w:tblStyleRowBandSize w:val="1"/>
      <w:tblStyleColBandSize w:val="1"/>
    </w:tblPr>
    <w:tcPr>
      <w:shd w:val="clear" w:color="auto" w:fill="FFFCF8" w:themeFill="accent6" w:themeFillTint="19"/>
    </w:tcPr>
    <w:tblStylePr w:type="firstRow">
      <w:rPr>
        <w:b/>
        <w:bCs/>
        <w:color w:val="FFFFFF" w:themeColor="background1"/>
      </w:rPr>
      <w:tblPr/>
      <w:tcPr>
        <w:tcBorders>
          <w:bottom w:val="single" w:sz="12" w:space="0" w:color="FFFFFF" w:themeColor="background1"/>
        </w:tcBorders>
        <w:shd w:val="clear" w:color="auto" w:fill="01343C" w:themeFill="accent5" w:themeFillShade="CC"/>
      </w:tcPr>
    </w:tblStylePr>
    <w:tblStylePr w:type="lastRow">
      <w:rPr>
        <w:b/>
        <w:bCs/>
        <w:color w:val="0134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7ED" w:themeFill="accent6" w:themeFillTint="3F"/>
      </w:tcPr>
    </w:tblStylePr>
    <w:tblStylePr w:type="band1Horz">
      <w:tblPr/>
      <w:tcPr>
        <w:shd w:val="clear" w:color="auto" w:fill="FEF9F1" w:themeFill="accent6" w:themeFillTint="33"/>
      </w:tcPr>
    </w:tblStylePr>
  </w:style>
  <w:style w:type="paragraph" w:styleId="PlainText">
    <w:name w:val="Plain Text"/>
    <w:basedOn w:val="Normal"/>
    <w:link w:val="PlainTextChar"/>
    <w:uiPriority w:val="99"/>
    <w:unhideWhenUsed/>
    <w:rsid w:val="00E17C08"/>
    <w:pPr>
      <w:spacing w:line="240" w:lineRule="auto"/>
    </w:pPr>
    <w:rPr>
      <w:rFonts w:ascii="Calibri" w:eastAsiaTheme="minorHAnsi" w:hAnsi="Calibri"/>
      <w:sz w:val="22"/>
      <w:szCs w:val="21"/>
      <w:lang w:eastAsia="en-US"/>
    </w:rPr>
  </w:style>
  <w:style w:type="character" w:customStyle="1" w:styleId="PlainTextChar">
    <w:name w:val="Plain Text Char"/>
    <w:basedOn w:val="DefaultParagraphFont"/>
    <w:link w:val="PlainText"/>
    <w:uiPriority w:val="99"/>
    <w:rsid w:val="00E17C08"/>
    <w:rPr>
      <w:rFonts w:ascii="Calibri" w:eastAsiaTheme="minorHAnsi" w:hAnsi="Calibri"/>
      <w:szCs w:val="21"/>
      <w:lang w:eastAsia="en-US"/>
    </w:rPr>
  </w:style>
  <w:style w:type="numbering" w:customStyle="1" w:styleId="StyleBulleted2">
    <w:name w:val="Style Bulleted2"/>
    <w:basedOn w:val="NoList"/>
    <w:rsid w:val="003A3F40"/>
    <w:pPr>
      <w:numPr>
        <w:numId w:val="3"/>
      </w:numPr>
    </w:pPr>
  </w:style>
  <w:style w:type="paragraph" w:styleId="Revision">
    <w:name w:val="Revision"/>
    <w:hidden/>
    <w:uiPriority w:val="99"/>
    <w:semiHidden/>
    <w:rsid w:val="004011AF"/>
    <w:pPr>
      <w:spacing w:after="0" w:line="240" w:lineRule="auto"/>
    </w:pPr>
    <w:rPr>
      <w:rFonts w:ascii="Cambria" w:hAnsi="Cambria"/>
      <w:sz w:val="24"/>
    </w:rPr>
  </w:style>
  <w:style w:type="character" w:customStyle="1" w:styleId="st1">
    <w:name w:val="st1"/>
    <w:basedOn w:val="DefaultParagraphFont"/>
    <w:rsid w:val="00036634"/>
  </w:style>
  <w:style w:type="paragraph" w:styleId="TOC6">
    <w:name w:val="toc 6"/>
    <w:basedOn w:val="Normal"/>
    <w:next w:val="Normal"/>
    <w:autoRedefine/>
    <w:uiPriority w:val="39"/>
    <w:unhideWhenUsed/>
    <w:rsid w:val="002205F1"/>
    <w:pPr>
      <w:spacing w:after="100"/>
      <w:ind w:left="1100"/>
    </w:pPr>
    <w:rPr>
      <w:rFonts w:asciiTheme="minorHAnsi" w:hAnsiTheme="minorHAnsi"/>
      <w:sz w:val="22"/>
    </w:rPr>
  </w:style>
  <w:style w:type="paragraph" w:styleId="TOC7">
    <w:name w:val="toc 7"/>
    <w:basedOn w:val="Normal"/>
    <w:next w:val="Normal"/>
    <w:autoRedefine/>
    <w:uiPriority w:val="39"/>
    <w:unhideWhenUsed/>
    <w:rsid w:val="002205F1"/>
    <w:pPr>
      <w:spacing w:after="100"/>
      <w:ind w:left="1320"/>
    </w:pPr>
    <w:rPr>
      <w:rFonts w:asciiTheme="minorHAnsi" w:hAnsiTheme="minorHAnsi"/>
      <w:sz w:val="22"/>
    </w:rPr>
  </w:style>
  <w:style w:type="paragraph" w:styleId="TOC8">
    <w:name w:val="toc 8"/>
    <w:basedOn w:val="Normal"/>
    <w:next w:val="Normal"/>
    <w:autoRedefine/>
    <w:uiPriority w:val="39"/>
    <w:unhideWhenUsed/>
    <w:rsid w:val="002205F1"/>
    <w:pPr>
      <w:spacing w:after="100"/>
      <w:ind w:left="1540"/>
    </w:pPr>
    <w:rPr>
      <w:rFonts w:asciiTheme="minorHAnsi" w:hAnsiTheme="minorHAnsi"/>
      <w:sz w:val="22"/>
    </w:rPr>
  </w:style>
  <w:style w:type="paragraph" w:styleId="TOC9">
    <w:name w:val="toc 9"/>
    <w:basedOn w:val="Normal"/>
    <w:next w:val="Normal"/>
    <w:autoRedefine/>
    <w:uiPriority w:val="39"/>
    <w:unhideWhenUsed/>
    <w:rsid w:val="002205F1"/>
    <w:pPr>
      <w:spacing w:after="100"/>
      <w:ind w:left="1760"/>
    </w:pPr>
    <w:rPr>
      <w:rFonts w:asciiTheme="minorHAnsi" w:hAnsiTheme="minorHAnsi"/>
      <w:sz w:val="22"/>
    </w:rPr>
  </w:style>
  <w:style w:type="paragraph" w:customStyle="1" w:styleId="CM4">
    <w:name w:val="CM4"/>
    <w:basedOn w:val="Default"/>
    <w:next w:val="Default"/>
    <w:uiPriority w:val="99"/>
    <w:rsid w:val="00596FDB"/>
    <w:pPr>
      <w:adjustRightInd w:val="0"/>
    </w:pPr>
    <w:rPr>
      <w:rFonts w:ascii="EUAlbertina" w:eastAsia="Times New Roman" w:hAnsi="EUAlbertina"/>
      <w:color w:val="auto"/>
      <w:lang w:val="en-US" w:eastAsia="lt-LT"/>
    </w:rPr>
  </w:style>
  <w:style w:type="character" w:customStyle="1" w:styleId="ListParagraphChar">
    <w:name w:val="List Paragraph Char"/>
    <w:link w:val="ListParagraph"/>
    <w:uiPriority w:val="34"/>
    <w:locked/>
    <w:rsid w:val="00596FDB"/>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8988">
      <w:bodyDiv w:val="1"/>
      <w:marLeft w:val="0"/>
      <w:marRight w:val="0"/>
      <w:marTop w:val="0"/>
      <w:marBottom w:val="0"/>
      <w:divBdr>
        <w:top w:val="none" w:sz="0" w:space="0" w:color="auto"/>
        <w:left w:val="none" w:sz="0" w:space="0" w:color="auto"/>
        <w:bottom w:val="none" w:sz="0" w:space="0" w:color="auto"/>
        <w:right w:val="none" w:sz="0" w:space="0" w:color="auto"/>
      </w:divBdr>
      <w:divsChild>
        <w:div w:id="1749304191">
          <w:marLeft w:val="547"/>
          <w:marRight w:val="0"/>
          <w:marTop w:val="0"/>
          <w:marBottom w:val="0"/>
          <w:divBdr>
            <w:top w:val="none" w:sz="0" w:space="0" w:color="auto"/>
            <w:left w:val="none" w:sz="0" w:space="0" w:color="auto"/>
            <w:bottom w:val="none" w:sz="0" w:space="0" w:color="auto"/>
            <w:right w:val="none" w:sz="0" w:space="0" w:color="auto"/>
          </w:divBdr>
        </w:div>
      </w:divsChild>
    </w:div>
    <w:div w:id="149951450">
      <w:bodyDiv w:val="1"/>
      <w:marLeft w:val="0"/>
      <w:marRight w:val="0"/>
      <w:marTop w:val="0"/>
      <w:marBottom w:val="0"/>
      <w:divBdr>
        <w:top w:val="none" w:sz="0" w:space="0" w:color="auto"/>
        <w:left w:val="none" w:sz="0" w:space="0" w:color="auto"/>
        <w:bottom w:val="none" w:sz="0" w:space="0" w:color="auto"/>
        <w:right w:val="none" w:sz="0" w:space="0" w:color="auto"/>
      </w:divBdr>
      <w:divsChild>
        <w:div w:id="191187223">
          <w:marLeft w:val="547"/>
          <w:marRight w:val="0"/>
          <w:marTop w:val="0"/>
          <w:marBottom w:val="0"/>
          <w:divBdr>
            <w:top w:val="none" w:sz="0" w:space="0" w:color="auto"/>
            <w:left w:val="none" w:sz="0" w:space="0" w:color="auto"/>
            <w:bottom w:val="none" w:sz="0" w:space="0" w:color="auto"/>
            <w:right w:val="none" w:sz="0" w:space="0" w:color="auto"/>
          </w:divBdr>
        </w:div>
      </w:divsChild>
    </w:div>
    <w:div w:id="160506166">
      <w:bodyDiv w:val="1"/>
      <w:marLeft w:val="0"/>
      <w:marRight w:val="0"/>
      <w:marTop w:val="0"/>
      <w:marBottom w:val="0"/>
      <w:divBdr>
        <w:top w:val="none" w:sz="0" w:space="0" w:color="auto"/>
        <w:left w:val="none" w:sz="0" w:space="0" w:color="auto"/>
        <w:bottom w:val="none" w:sz="0" w:space="0" w:color="auto"/>
        <w:right w:val="none" w:sz="0" w:space="0" w:color="auto"/>
      </w:divBdr>
    </w:div>
    <w:div w:id="163513836">
      <w:bodyDiv w:val="1"/>
      <w:marLeft w:val="0"/>
      <w:marRight w:val="0"/>
      <w:marTop w:val="0"/>
      <w:marBottom w:val="0"/>
      <w:divBdr>
        <w:top w:val="none" w:sz="0" w:space="0" w:color="auto"/>
        <w:left w:val="none" w:sz="0" w:space="0" w:color="auto"/>
        <w:bottom w:val="none" w:sz="0" w:space="0" w:color="auto"/>
        <w:right w:val="none" w:sz="0" w:space="0" w:color="auto"/>
      </w:divBdr>
      <w:divsChild>
        <w:div w:id="1700280421">
          <w:marLeft w:val="547"/>
          <w:marRight w:val="0"/>
          <w:marTop w:val="0"/>
          <w:marBottom w:val="0"/>
          <w:divBdr>
            <w:top w:val="none" w:sz="0" w:space="0" w:color="auto"/>
            <w:left w:val="none" w:sz="0" w:space="0" w:color="auto"/>
            <w:bottom w:val="none" w:sz="0" w:space="0" w:color="auto"/>
            <w:right w:val="none" w:sz="0" w:space="0" w:color="auto"/>
          </w:divBdr>
        </w:div>
      </w:divsChild>
    </w:div>
    <w:div w:id="236979381">
      <w:bodyDiv w:val="1"/>
      <w:marLeft w:val="0"/>
      <w:marRight w:val="0"/>
      <w:marTop w:val="0"/>
      <w:marBottom w:val="0"/>
      <w:divBdr>
        <w:top w:val="none" w:sz="0" w:space="0" w:color="auto"/>
        <w:left w:val="none" w:sz="0" w:space="0" w:color="auto"/>
        <w:bottom w:val="none" w:sz="0" w:space="0" w:color="auto"/>
        <w:right w:val="none" w:sz="0" w:space="0" w:color="auto"/>
      </w:divBdr>
    </w:div>
    <w:div w:id="344594104">
      <w:bodyDiv w:val="1"/>
      <w:marLeft w:val="0"/>
      <w:marRight w:val="0"/>
      <w:marTop w:val="0"/>
      <w:marBottom w:val="0"/>
      <w:divBdr>
        <w:top w:val="none" w:sz="0" w:space="0" w:color="auto"/>
        <w:left w:val="none" w:sz="0" w:space="0" w:color="auto"/>
        <w:bottom w:val="none" w:sz="0" w:space="0" w:color="auto"/>
        <w:right w:val="none" w:sz="0" w:space="0" w:color="auto"/>
      </w:divBdr>
    </w:div>
    <w:div w:id="403837223">
      <w:bodyDiv w:val="1"/>
      <w:marLeft w:val="0"/>
      <w:marRight w:val="0"/>
      <w:marTop w:val="0"/>
      <w:marBottom w:val="0"/>
      <w:divBdr>
        <w:top w:val="none" w:sz="0" w:space="0" w:color="auto"/>
        <w:left w:val="none" w:sz="0" w:space="0" w:color="auto"/>
        <w:bottom w:val="none" w:sz="0" w:space="0" w:color="auto"/>
        <w:right w:val="none" w:sz="0" w:space="0" w:color="auto"/>
      </w:divBdr>
    </w:div>
    <w:div w:id="670258062">
      <w:bodyDiv w:val="1"/>
      <w:marLeft w:val="0"/>
      <w:marRight w:val="0"/>
      <w:marTop w:val="0"/>
      <w:marBottom w:val="0"/>
      <w:divBdr>
        <w:top w:val="none" w:sz="0" w:space="0" w:color="auto"/>
        <w:left w:val="none" w:sz="0" w:space="0" w:color="auto"/>
        <w:bottom w:val="none" w:sz="0" w:space="0" w:color="auto"/>
        <w:right w:val="none" w:sz="0" w:space="0" w:color="auto"/>
      </w:divBdr>
      <w:divsChild>
        <w:div w:id="760641038">
          <w:marLeft w:val="547"/>
          <w:marRight w:val="0"/>
          <w:marTop w:val="0"/>
          <w:marBottom w:val="0"/>
          <w:divBdr>
            <w:top w:val="none" w:sz="0" w:space="0" w:color="auto"/>
            <w:left w:val="none" w:sz="0" w:space="0" w:color="auto"/>
            <w:bottom w:val="none" w:sz="0" w:space="0" w:color="auto"/>
            <w:right w:val="none" w:sz="0" w:space="0" w:color="auto"/>
          </w:divBdr>
        </w:div>
      </w:divsChild>
    </w:div>
    <w:div w:id="679162048">
      <w:bodyDiv w:val="1"/>
      <w:marLeft w:val="0"/>
      <w:marRight w:val="0"/>
      <w:marTop w:val="0"/>
      <w:marBottom w:val="0"/>
      <w:divBdr>
        <w:top w:val="none" w:sz="0" w:space="0" w:color="auto"/>
        <w:left w:val="none" w:sz="0" w:space="0" w:color="auto"/>
        <w:bottom w:val="none" w:sz="0" w:space="0" w:color="auto"/>
        <w:right w:val="none" w:sz="0" w:space="0" w:color="auto"/>
      </w:divBdr>
      <w:divsChild>
        <w:div w:id="1998220794">
          <w:marLeft w:val="547"/>
          <w:marRight w:val="0"/>
          <w:marTop w:val="0"/>
          <w:marBottom w:val="0"/>
          <w:divBdr>
            <w:top w:val="none" w:sz="0" w:space="0" w:color="auto"/>
            <w:left w:val="none" w:sz="0" w:space="0" w:color="auto"/>
            <w:bottom w:val="none" w:sz="0" w:space="0" w:color="auto"/>
            <w:right w:val="none" w:sz="0" w:space="0" w:color="auto"/>
          </w:divBdr>
        </w:div>
      </w:divsChild>
    </w:div>
    <w:div w:id="702094674">
      <w:bodyDiv w:val="1"/>
      <w:marLeft w:val="0"/>
      <w:marRight w:val="0"/>
      <w:marTop w:val="0"/>
      <w:marBottom w:val="0"/>
      <w:divBdr>
        <w:top w:val="none" w:sz="0" w:space="0" w:color="auto"/>
        <w:left w:val="none" w:sz="0" w:space="0" w:color="auto"/>
        <w:bottom w:val="none" w:sz="0" w:space="0" w:color="auto"/>
        <w:right w:val="none" w:sz="0" w:space="0" w:color="auto"/>
      </w:divBdr>
      <w:divsChild>
        <w:div w:id="661813151">
          <w:marLeft w:val="547"/>
          <w:marRight w:val="0"/>
          <w:marTop w:val="0"/>
          <w:marBottom w:val="0"/>
          <w:divBdr>
            <w:top w:val="none" w:sz="0" w:space="0" w:color="auto"/>
            <w:left w:val="none" w:sz="0" w:space="0" w:color="auto"/>
            <w:bottom w:val="none" w:sz="0" w:space="0" w:color="auto"/>
            <w:right w:val="none" w:sz="0" w:space="0" w:color="auto"/>
          </w:divBdr>
        </w:div>
      </w:divsChild>
    </w:div>
    <w:div w:id="717120915">
      <w:bodyDiv w:val="1"/>
      <w:marLeft w:val="0"/>
      <w:marRight w:val="0"/>
      <w:marTop w:val="0"/>
      <w:marBottom w:val="0"/>
      <w:divBdr>
        <w:top w:val="none" w:sz="0" w:space="0" w:color="auto"/>
        <w:left w:val="none" w:sz="0" w:space="0" w:color="auto"/>
        <w:bottom w:val="none" w:sz="0" w:space="0" w:color="auto"/>
        <w:right w:val="none" w:sz="0" w:space="0" w:color="auto"/>
      </w:divBdr>
      <w:divsChild>
        <w:div w:id="1929532860">
          <w:marLeft w:val="150"/>
          <w:marRight w:val="150"/>
          <w:marTop w:val="150"/>
          <w:marBottom w:val="150"/>
          <w:divBdr>
            <w:top w:val="none" w:sz="0" w:space="0" w:color="auto"/>
            <w:left w:val="none" w:sz="0" w:space="0" w:color="auto"/>
            <w:bottom w:val="none" w:sz="0" w:space="0" w:color="auto"/>
            <w:right w:val="none" w:sz="0" w:space="0" w:color="auto"/>
          </w:divBdr>
        </w:div>
      </w:divsChild>
    </w:div>
    <w:div w:id="750346089">
      <w:bodyDiv w:val="1"/>
      <w:marLeft w:val="0"/>
      <w:marRight w:val="0"/>
      <w:marTop w:val="0"/>
      <w:marBottom w:val="0"/>
      <w:divBdr>
        <w:top w:val="none" w:sz="0" w:space="0" w:color="auto"/>
        <w:left w:val="none" w:sz="0" w:space="0" w:color="auto"/>
        <w:bottom w:val="none" w:sz="0" w:space="0" w:color="auto"/>
        <w:right w:val="none" w:sz="0" w:space="0" w:color="auto"/>
      </w:divBdr>
      <w:divsChild>
        <w:div w:id="951203741">
          <w:marLeft w:val="547"/>
          <w:marRight w:val="0"/>
          <w:marTop w:val="0"/>
          <w:marBottom w:val="0"/>
          <w:divBdr>
            <w:top w:val="none" w:sz="0" w:space="0" w:color="auto"/>
            <w:left w:val="none" w:sz="0" w:space="0" w:color="auto"/>
            <w:bottom w:val="none" w:sz="0" w:space="0" w:color="auto"/>
            <w:right w:val="none" w:sz="0" w:space="0" w:color="auto"/>
          </w:divBdr>
        </w:div>
      </w:divsChild>
    </w:div>
    <w:div w:id="965544688">
      <w:bodyDiv w:val="1"/>
      <w:marLeft w:val="0"/>
      <w:marRight w:val="0"/>
      <w:marTop w:val="0"/>
      <w:marBottom w:val="0"/>
      <w:divBdr>
        <w:top w:val="none" w:sz="0" w:space="0" w:color="auto"/>
        <w:left w:val="none" w:sz="0" w:space="0" w:color="auto"/>
        <w:bottom w:val="none" w:sz="0" w:space="0" w:color="auto"/>
        <w:right w:val="none" w:sz="0" w:space="0" w:color="auto"/>
      </w:divBdr>
    </w:div>
    <w:div w:id="1093866430">
      <w:bodyDiv w:val="1"/>
      <w:marLeft w:val="0"/>
      <w:marRight w:val="0"/>
      <w:marTop w:val="0"/>
      <w:marBottom w:val="0"/>
      <w:divBdr>
        <w:top w:val="none" w:sz="0" w:space="0" w:color="auto"/>
        <w:left w:val="none" w:sz="0" w:space="0" w:color="auto"/>
        <w:bottom w:val="none" w:sz="0" w:space="0" w:color="auto"/>
        <w:right w:val="none" w:sz="0" w:space="0" w:color="auto"/>
      </w:divBdr>
    </w:div>
    <w:div w:id="1188838176">
      <w:bodyDiv w:val="1"/>
      <w:marLeft w:val="0"/>
      <w:marRight w:val="0"/>
      <w:marTop w:val="0"/>
      <w:marBottom w:val="0"/>
      <w:divBdr>
        <w:top w:val="none" w:sz="0" w:space="0" w:color="auto"/>
        <w:left w:val="none" w:sz="0" w:space="0" w:color="auto"/>
        <w:bottom w:val="none" w:sz="0" w:space="0" w:color="auto"/>
        <w:right w:val="none" w:sz="0" w:space="0" w:color="auto"/>
      </w:divBdr>
      <w:divsChild>
        <w:div w:id="156845536">
          <w:marLeft w:val="547"/>
          <w:marRight w:val="0"/>
          <w:marTop w:val="0"/>
          <w:marBottom w:val="0"/>
          <w:divBdr>
            <w:top w:val="none" w:sz="0" w:space="0" w:color="auto"/>
            <w:left w:val="none" w:sz="0" w:space="0" w:color="auto"/>
            <w:bottom w:val="none" w:sz="0" w:space="0" w:color="auto"/>
            <w:right w:val="none" w:sz="0" w:space="0" w:color="auto"/>
          </w:divBdr>
        </w:div>
      </w:divsChild>
    </w:div>
    <w:div w:id="1194152630">
      <w:bodyDiv w:val="1"/>
      <w:marLeft w:val="0"/>
      <w:marRight w:val="0"/>
      <w:marTop w:val="0"/>
      <w:marBottom w:val="0"/>
      <w:divBdr>
        <w:top w:val="none" w:sz="0" w:space="0" w:color="auto"/>
        <w:left w:val="none" w:sz="0" w:space="0" w:color="auto"/>
        <w:bottom w:val="none" w:sz="0" w:space="0" w:color="auto"/>
        <w:right w:val="none" w:sz="0" w:space="0" w:color="auto"/>
      </w:divBdr>
      <w:divsChild>
        <w:div w:id="909578743">
          <w:marLeft w:val="547"/>
          <w:marRight w:val="0"/>
          <w:marTop w:val="0"/>
          <w:marBottom w:val="0"/>
          <w:divBdr>
            <w:top w:val="none" w:sz="0" w:space="0" w:color="auto"/>
            <w:left w:val="none" w:sz="0" w:space="0" w:color="auto"/>
            <w:bottom w:val="none" w:sz="0" w:space="0" w:color="auto"/>
            <w:right w:val="none" w:sz="0" w:space="0" w:color="auto"/>
          </w:divBdr>
        </w:div>
      </w:divsChild>
    </w:div>
    <w:div w:id="1218513874">
      <w:bodyDiv w:val="1"/>
      <w:marLeft w:val="0"/>
      <w:marRight w:val="0"/>
      <w:marTop w:val="0"/>
      <w:marBottom w:val="0"/>
      <w:divBdr>
        <w:top w:val="none" w:sz="0" w:space="0" w:color="auto"/>
        <w:left w:val="none" w:sz="0" w:space="0" w:color="auto"/>
        <w:bottom w:val="none" w:sz="0" w:space="0" w:color="auto"/>
        <w:right w:val="none" w:sz="0" w:space="0" w:color="auto"/>
      </w:divBdr>
      <w:divsChild>
        <w:div w:id="219365919">
          <w:marLeft w:val="547"/>
          <w:marRight w:val="0"/>
          <w:marTop w:val="0"/>
          <w:marBottom w:val="0"/>
          <w:divBdr>
            <w:top w:val="none" w:sz="0" w:space="0" w:color="auto"/>
            <w:left w:val="none" w:sz="0" w:space="0" w:color="auto"/>
            <w:bottom w:val="none" w:sz="0" w:space="0" w:color="auto"/>
            <w:right w:val="none" w:sz="0" w:space="0" w:color="auto"/>
          </w:divBdr>
        </w:div>
      </w:divsChild>
    </w:div>
    <w:div w:id="1260675604">
      <w:bodyDiv w:val="1"/>
      <w:marLeft w:val="0"/>
      <w:marRight w:val="0"/>
      <w:marTop w:val="0"/>
      <w:marBottom w:val="0"/>
      <w:divBdr>
        <w:top w:val="none" w:sz="0" w:space="0" w:color="auto"/>
        <w:left w:val="none" w:sz="0" w:space="0" w:color="auto"/>
        <w:bottom w:val="none" w:sz="0" w:space="0" w:color="auto"/>
        <w:right w:val="none" w:sz="0" w:space="0" w:color="auto"/>
      </w:divBdr>
    </w:div>
    <w:div w:id="1342318921">
      <w:bodyDiv w:val="1"/>
      <w:marLeft w:val="0"/>
      <w:marRight w:val="0"/>
      <w:marTop w:val="0"/>
      <w:marBottom w:val="0"/>
      <w:divBdr>
        <w:top w:val="none" w:sz="0" w:space="0" w:color="auto"/>
        <w:left w:val="none" w:sz="0" w:space="0" w:color="auto"/>
        <w:bottom w:val="none" w:sz="0" w:space="0" w:color="auto"/>
        <w:right w:val="none" w:sz="0" w:space="0" w:color="auto"/>
      </w:divBdr>
    </w:div>
    <w:div w:id="1397625014">
      <w:bodyDiv w:val="1"/>
      <w:marLeft w:val="0"/>
      <w:marRight w:val="0"/>
      <w:marTop w:val="0"/>
      <w:marBottom w:val="0"/>
      <w:divBdr>
        <w:top w:val="none" w:sz="0" w:space="0" w:color="auto"/>
        <w:left w:val="none" w:sz="0" w:space="0" w:color="auto"/>
        <w:bottom w:val="none" w:sz="0" w:space="0" w:color="auto"/>
        <w:right w:val="none" w:sz="0" w:space="0" w:color="auto"/>
      </w:divBdr>
      <w:divsChild>
        <w:div w:id="1841113787">
          <w:marLeft w:val="547"/>
          <w:marRight w:val="0"/>
          <w:marTop w:val="0"/>
          <w:marBottom w:val="0"/>
          <w:divBdr>
            <w:top w:val="none" w:sz="0" w:space="0" w:color="auto"/>
            <w:left w:val="none" w:sz="0" w:space="0" w:color="auto"/>
            <w:bottom w:val="none" w:sz="0" w:space="0" w:color="auto"/>
            <w:right w:val="none" w:sz="0" w:space="0" w:color="auto"/>
          </w:divBdr>
        </w:div>
      </w:divsChild>
    </w:div>
    <w:div w:id="1557275329">
      <w:bodyDiv w:val="1"/>
      <w:marLeft w:val="0"/>
      <w:marRight w:val="0"/>
      <w:marTop w:val="0"/>
      <w:marBottom w:val="0"/>
      <w:divBdr>
        <w:top w:val="none" w:sz="0" w:space="0" w:color="auto"/>
        <w:left w:val="none" w:sz="0" w:space="0" w:color="auto"/>
        <w:bottom w:val="none" w:sz="0" w:space="0" w:color="auto"/>
        <w:right w:val="none" w:sz="0" w:space="0" w:color="auto"/>
      </w:divBdr>
    </w:div>
    <w:div w:id="1687322028">
      <w:bodyDiv w:val="1"/>
      <w:marLeft w:val="0"/>
      <w:marRight w:val="0"/>
      <w:marTop w:val="0"/>
      <w:marBottom w:val="0"/>
      <w:divBdr>
        <w:top w:val="none" w:sz="0" w:space="0" w:color="auto"/>
        <w:left w:val="none" w:sz="0" w:space="0" w:color="auto"/>
        <w:bottom w:val="none" w:sz="0" w:space="0" w:color="auto"/>
        <w:right w:val="none" w:sz="0" w:space="0" w:color="auto"/>
      </w:divBdr>
      <w:divsChild>
        <w:div w:id="963661752">
          <w:marLeft w:val="547"/>
          <w:marRight w:val="0"/>
          <w:marTop w:val="0"/>
          <w:marBottom w:val="0"/>
          <w:divBdr>
            <w:top w:val="none" w:sz="0" w:space="0" w:color="auto"/>
            <w:left w:val="none" w:sz="0" w:space="0" w:color="auto"/>
            <w:bottom w:val="none" w:sz="0" w:space="0" w:color="auto"/>
            <w:right w:val="none" w:sz="0" w:space="0" w:color="auto"/>
          </w:divBdr>
        </w:div>
      </w:divsChild>
    </w:div>
    <w:div w:id="1761364896">
      <w:bodyDiv w:val="1"/>
      <w:marLeft w:val="0"/>
      <w:marRight w:val="0"/>
      <w:marTop w:val="0"/>
      <w:marBottom w:val="0"/>
      <w:divBdr>
        <w:top w:val="none" w:sz="0" w:space="0" w:color="auto"/>
        <w:left w:val="none" w:sz="0" w:space="0" w:color="auto"/>
        <w:bottom w:val="none" w:sz="0" w:space="0" w:color="auto"/>
        <w:right w:val="none" w:sz="0" w:space="0" w:color="auto"/>
      </w:divBdr>
    </w:div>
    <w:div w:id="1854566357">
      <w:bodyDiv w:val="1"/>
      <w:marLeft w:val="0"/>
      <w:marRight w:val="0"/>
      <w:marTop w:val="0"/>
      <w:marBottom w:val="0"/>
      <w:divBdr>
        <w:top w:val="none" w:sz="0" w:space="0" w:color="auto"/>
        <w:left w:val="none" w:sz="0" w:space="0" w:color="auto"/>
        <w:bottom w:val="none" w:sz="0" w:space="0" w:color="auto"/>
        <w:right w:val="none" w:sz="0" w:space="0" w:color="auto"/>
      </w:divBdr>
      <w:divsChild>
        <w:div w:id="1989820850">
          <w:marLeft w:val="547"/>
          <w:marRight w:val="0"/>
          <w:marTop w:val="0"/>
          <w:marBottom w:val="0"/>
          <w:divBdr>
            <w:top w:val="none" w:sz="0" w:space="0" w:color="auto"/>
            <w:left w:val="none" w:sz="0" w:space="0" w:color="auto"/>
            <w:bottom w:val="none" w:sz="0" w:space="0" w:color="auto"/>
            <w:right w:val="none" w:sz="0" w:space="0" w:color="auto"/>
          </w:divBdr>
        </w:div>
      </w:divsChild>
    </w:div>
    <w:div w:id="2102214983">
      <w:bodyDiv w:val="1"/>
      <w:marLeft w:val="0"/>
      <w:marRight w:val="0"/>
      <w:marTop w:val="0"/>
      <w:marBottom w:val="0"/>
      <w:divBdr>
        <w:top w:val="none" w:sz="0" w:space="0" w:color="auto"/>
        <w:left w:val="none" w:sz="0" w:space="0" w:color="auto"/>
        <w:bottom w:val="none" w:sz="0" w:space="0" w:color="auto"/>
        <w:right w:val="none" w:sz="0" w:space="0" w:color="auto"/>
      </w:divBdr>
      <w:divsChild>
        <w:div w:id="12644165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parama.lt/strateginiai-dokumentai1" TargetMode="External"/><Relationship Id="rId18" Type="http://schemas.openxmlformats.org/officeDocument/2006/relationships/hyperlink" Target="mailto:g.lamsodis@litfood.l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Rimante.levickiene@telsiai.lt" TargetMode="External"/><Relationship Id="rId7" Type="http://schemas.openxmlformats.org/officeDocument/2006/relationships/footnotes" Target="footnotes.xml"/><Relationship Id="rId12" Type="http://schemas.openxmlformats.org/officeDocument/2006/relationships/hyperlink" Target="http://ec.europa.eu/europe2020/pdf/csr2014/csr2014_lithuania_lt.pdf" TargetMode="External"/><Relationship Id="rId17" Type="http://schemas.openxmlformats.org/officeDocument/2006/relationships/hyperlink" Target="mailto:r.kraujelyte-noreikiene@litfood.l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musteikis@litfood.lt" TargetMode="External"/><Relationship Id="rId20" Type="http://schemas.openxmlformats.org/officeDocument/2006/relationships/hyperlink" Target="mailto:kristina@maistobankas.lt"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tfood.lt/Lists/Publications/AllItems.aspx?RootFolder=http%3a%2f%2fwww%2elitfood%2elt%2fLists%2fPublications%2fPagalba%20maisto%20produktais%2fStatistika&amp;FolderCTID=0x012000EF8B28BBC9FD604F9F45357A684ABF67"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dalia@redcross.lt" TargetMode="External"/><Relationship Id="rId23" Type="http://schemas.openxmlformats.org/officeDocument/2006/relationships/header" Target="header1.xml"/><Relationship Id="rId28" Type="http://schemas.microsoft.com/office/2011/relationships/commentsExtended" Target="commentsExtended.xml"/><Relationship Id="rId10" Type="http://schemas.openxmlformats.org/officeDocument/2006/relationships/image" Target="media/image2.jpeg"/><Relationship Id="rId19" Type="http://schemas.openxmlformats.org/officeDocument/2006/relationships/hyperlink" Target="mailto:dalia.gaileviciute@esf.lt" TargetMode="Externa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yperlink" Target="http://www.litfood.lt/Lists/Publications/AllItems.aspx?RootFolder=http%3a%2f%2fwww%2elitfood%2elt%2fLists%2fPublications%2fPagalba%20maisto%20produktais%2fStatistika&amp;FolderCTID=0x012000EF8B28BBC9FD604F9F45357A684ABF67" TargetMode="External"/><Relationship Id="rId22" Type="http://schemas.openxmlformats.org/officeDocument/2006/relationships/hyperlink" Target="mailto:info@stopskurdas.l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appsso.eurostat.ec.europa.eu/nui/submitViewTableAction.do" TargetMode="External"/><Relationship Id="rId2" Type="http://schemas.openxmlformats.org/officeDocument/2006/relationships/hyperlink" Target="http://appsso.eurostat.ec.europa.eu/nui/show.do?dataset=ilc_mddd21&amp;lang=en" TargetMode="External"/><Relationship Id="rId1" Type="http://schemas.openxmlformats.org/officeDocument/2006/relationships/hyperlink" Target="http://epp.eurostat.ec.europa.eu/tgm/refreshTableAction.do;jsessionid=9ea7d07d30ebb87d4cd83d184437b435dadf0aa742e8.e34OaN8PchaTby0Lc3aNchuNa3mSe0?tab=table&amp;plugin=1&amp;pcode=t2020_50&amp;language=en" TargetMode="External"/><Relationship Id="rId5" Type="http://schemas.openxmlformats.org/officeDocument/2006/relationships/hyperlink" Target="http://www.esparama.lt/strateginiai-dokumentai1" TargetMode="External"/><Relationship Id="rId4" Type="http://schemas.openxmlformats.org/officeDocument/2006/relationships/hyperlink" Target="http://ec.europa.eu/europe2020/pdf/csr2014/csr2014_lithuania_l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nMaka\AppData\Roaming\Microsoft\Templates\VPVI.dotx" TargetMode="External"/></Relationships>
</file>

<file path=word/theme/theme1.xml><?xml version="1.0" encoding="utf-8"?>
<a:theme xmlns:a="http://schemas.openxmlformats.org/drawingml/2006/main" name="Office Theme">
  <a:themeElements>
    <a:clrScheme name="Custom Palete 1">
      <a:dk1>
        <a:sysClr val="windowText" lastClr="000000"/>
      </a:dk1>
      <a:lt1>
        <a:sysClr val="window" lastClr="FFFFFF"/>
      </a:lt1>
      <a:dk2>
        <a:srgbClr val="9A9A9A"/>
      </a:dk2>
      <a:lt2>
        <a:srgbClr val="FFFFFF"/>
      </a:lt2>
      <a:accent1>
        <a:srgbClr val="FDCF85"/>
      </a:accent1>
      <a:accent2>
        <a:srgbClr val="FAB02F"/>
      </a:accent2>
      <a:accent3>
        <a:srgbClr val="AFC3CB"/>
      </a:accent3>
      <a:accent4>
        <a:srgbClr val="306673"/>
      </a:accent4>
      <a:accent5>
        <a:srgbClr val="02424C"/>
      </a:accent5>
      <a:accent6>
        <a:srgbClr val="FEE3BB"/>
      </a:accent6>
      <a:hlink>
        <a:srgbClr val="0000FF"/>
      </a:hlink>
      <a:folHlink>
        <a:srgbClr val="800080"/>
      </a:folHlink>
    </a:clrScheme>
    <a:fontScheme name="VPVI">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4E743-C10C-4798-B4B7-7EAA52CD9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VPVI</Template>
  <TotalTime>279</TotalTime>
  <Pages>24</Pages>
  <Words>35107</Words>
  <Characters>20011</Characters>
  <Application>Microsoft Office Word</Application>
  <DocSecurity>0</DocSecurity>
  <Lines>166</Lines>
  <Paragraphs>110</Paragraphs>
  <ScaleCrop>false</ScaleCrop>
  <HeadingPairs>
    <vt:vector size="2" baseType="variant">
      <vt:variant>
        <vt:lpstr>Title</vt:lpstr>
      </vt:variant>
      <vt:variant>
        <vt:i4>1</vt:i4>
      </vt:variant>
    </vt:vector>
  </HeadingPairs>
  <TitlesOfParts>
    <vt:vector size="1" baseType="lpstr">
      <vt:lpstr>EUROPOS PAGALBOS LABIAUSIAI SKURSTANTIEMS ASMENIMS FONDO VEIKSMŲ PROGRAMOS IŠANKSTINIS VERTINIMAS</vt:lpstr>
    </vt:vector>
  </TitlesOfParts>
  <Company>Overt Technologies Ltd</Company>
  <LinksUpToDate>false</LinksUpToDate>
  <CharactersWithSpaces>55008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EUROPOS PAGALBOS LABIAUSIAI SKURSTANTIEMS ASMENIMS FONDO VEIKSMŲ PROGRAMOS IŠANKSTINIS VERTINIMAS</dc:title>
  <dc:subject>vertinimo ataskaita</dc:subject>
  <dc:creator>AlinMaka</dc:creator>
  <cp:lastModifiedBy>AlinMaka</cp:lastModifiedBy>
  <cp:revision>9</cp:revision>
  <cp:lastPrinted>2014-08-19T11:25:00Z</cp:lastPrinted>
  <dcterms:created xsi:type="dcterms:W3CDTF">2014-08-15T19:46:00Z</dcterms:created>
  <dcterms:modified xsi:type="dcterms:W3CDTF">2014-08-19T11:54:00Z</dcterms:modified>
</cp:coreProperties>
</file>